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sz w:val="44"/>
          <w:szCs w:val="44"/>
        </w:rPr>
      </w:pPr>
      <w:bookmarkStart w:id="0" w:name="_GoBack"/>
      <w:bookmarkEnd w:id="0"/>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华容县疾病预防控制中心重大传染病防控经费项目</w:t>
      </w:r>
      <w:r>
        <w:rPr>
          <w:rFonts w:hint="eastAsia" w:ascii="方正小标宋简体" w:hAnsi="方正小标宋简体" w:eastAsia="方正小标宋简体" w:cs="方正小标宋简体"/>
          <w:sz w:val="44"/>
          <w:szCs w:val="44"/>
        </w:rPr>
        <w:t>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黑体" w:cs="Times New Roman"/>
          <w:sz w:val="32"/>
          <w:szCs w:val="32"/>
        </w:rPr>
      </w:pPr>
    </w:p>
    <w:p>
      <w:pPr>
        <w:pStyle w:val="7"/>
        <w:rPr>
          <w:rFonts w:hint="default"/>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4"/>
        <w:spacing w:before="102" w:line="224" w:lineRule="auto"/>
        <w:ind w:left="3216"/>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default" w:ascii="Times New Roman" w:hAnsi="Times New Roman" w:eastAsia="仿宋_GB2312" w:cs="Times New Roman"/>
          <w:sz w:val="32"/>
          <w:szCs w:val="32"/>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华容县疾病预防控制中心重大传染病防控经费项目</w:t>
      </w:r>
      <w:r>
        <w:rPr>
          <w:rFonts w:hint="eastAsia" w:ascii="方正小标宋简体" w:hAnsi="方正小标宋简体" w:eastAsia="方正小标宋简体" w:cs="方正小标宋简体"/>
          <w:sz w:val="44"/>
          <w:szCs w:val="44"/>
        </w:rPr>
        <w:t>支出绩效自评报告</w:t>
      </w:r>
    </w:p>
    <w:p>
      <w:pPr>
        <w:pStyle w:val="8"/>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0" w:beforeAutospacing="0" w:after="0" w:afterAutospacing="0" w:line="240" w:lineRule="auto"/>
        <w:ind w:left="0" w:leftChars="0" w:right="0" w:firstLine="643" w:firstLineChars="201"/>
        <w:jc w:val="both"/>
        <w:textAlignment w:val="auto"/>
        <w:rPr>
          <w:rFonts w:hint="default" w:ascii="原版宋体" w:hAnsi="原版宋体" w:eastAsia="仿宋_GB2312" w:cs="Times New Roman"/>
          <w:sz w:val="32"/>
          <w:szCs w:val="32"/>
        </w:rPr>
      </w:pP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一、基本情况</w:t>
      </w:r>
    </w:p>
    <w:p>
      <w:pPr>
        <w:widowControl/>
        <w:numPr>
          <w:ilvl w:val="0"/>
          <w:numId w:val="0"/>
        </w:numPr>
        <w:spacing w:line="540" w:lineRule="exact"/>
        <w:ind w:firstLine="640" w:firstLineChars="200"/>
        <w:jc w:val="both"/>
        <w:rPr>
          <w:rFonts w:hint="eastAsia" w:ascii="原版宋体" w:hAnsi="原版宋体" w:eastAsia="仿宋_GB2312" w:cs="Times New Roman"/>
          <w:b w:val="0"/>
          <w:bCs w:val="0"/>
          <w:color w:val="auto"/>
          <w:sz w:val="32"/>
          <w:szCs w:val="32"/>
          <w:lang w:val="en-US" w:eastAsia="zh-CN"/>
        </w:rPr>
      </w:pPr>
      <w:r>
        <w:rPr>
          <w:rFonts w:hint="eastAsia" w:ascii="原版宋体" w:hAnsi="原版宋体" w:eastAsia="仿宋_GB2312" w:cs="Times New Roman"/>
          <w:b w:val="0"/>
          <w:bCs w:val="0"/>
          <w:color w:val="auto"/>
          <w:sz w:val="32"/>
          <w:szCs w:val="32"/>
          <w:lang w:val="en-US" w:eastAsia="zh-CN"/>
        </w:rPr>
        <w:t>内容包括中央下达本省</w:t>
      </w:r>
      <w:r>
        <w:rPr>
          <w:rFonts w:hint="eastAsia" w:ascii="原版宋体" w:hAnsi="原版宋体" w:cs="Times New Roman"/>
          <w:b w:val="0"/>
          <w:bCs w:val="0"/>
          <w:color w:val="auto"/>
          <w:sz w:val="32"/>
          <w:szCs w:val="32"/>
          <w:lang w:val="en-US" w:eastAsia="zh-CN"/>
        </w:rPr>
        <w:t>“2023年重大传染病防控资金”和“2023年医疗服务与保障能力提升”</w:t>
      </w:r>
      <w:r>
        <w:rPr>
          <w:rFonts w:hint="eastAsia" w:ascii="原版宋体" w:hAnsi="原版宋体" w:eastAsia="仿宋_GB2312" w:cs="Times New Roman"/>
          <w:b w:val="0"/>
          <w:bCs w:val="0"/>
          <w:color w:val="auto"/>
          <w:sz w:val="32"/>
          <w:szCs w:val="32"/>
          <w:lang w:val="en-US" w:eastAsia="zh-CN"/>
        </w:rPr>
        <w:t>转移支付预算和区域绩效目标情况。情况</w:t>
      </w:r>
      <w:r>
        <w:rPr>
          <w:rFonts w:hint="eastAsia" w:ascii="原版宋体" w:hAnsi="原版宋体" w:cs="Times New Roman"/>
          <w:b w:val="0"/>
          <w:bCs w:val="0"/>
          <w:color w:val="auto"/>
          <w:sz w:val="32"/>
          <w:szCs w:val="32"/>
          <w:lang w:val="en-US" w:eastAsia="zh-CN"/>
        </w:rPr>
        <w:t>如下：</w:t>
      </w:r>
    </w:p>
    <w:p>
      <w:pPr>
        <w:widowControl/>
        <w:numPr>
          <w:ilvl w:val="0"/>
          <w:numId w:val="0"/>
        </w:numPr>
        <w:spacing w:line="540" w:lineRule="exact"/>
        <w:ind w:firstLine="640" w:firstLineChars="200"/>
        <w:jc w:val="both"/>
        <w:rPr>
          <w:rFonts w:hint="eastAsia" w:ascii="原版宋体" w:hAnsi="原版宋体" w:cs="Times New Roman"/>
          <w:b w:val="0"/>
          <w:bCs w:val="0"/>
          <w:color w:val="auto"/>
          <w:sz w:val="32"/>
          <w:szCs w:val="32"/>
          <w:lang w:val="en-US" w:eastAsia="zh-CN"/>
        </w:rPr>
      </w:pPr>
      <w:r>
        <w:rPr>
          <w:rFonts w:hint="eastAsia" w:ascii="原版宋体" w:hAnsi="原版宋体" w:eastAsia="仿宋_GB2312" w:cs="Times New Roman"/>
          <w:b w:val="0"/>
          <w:bCs w:val="0"/>
          <w:color w:val="auto"/>
          <w:sz w:val="32"/>
          <w:szCs w:val="32"/>
          <w:lang w:val="en-US" w:eastAsia="zh-CN"/>
        </w:rPr>
        <w:t>湘财社指[2022]102号</w:t>
      </w:r>
      <w:r>
        <w:rPr>
          <w:rFonts w:hint="eastAsia" w:ascii="原版宋体" w:hAnsi="原版宋体" w:cs="Times New Roman"/>
          <w:b w:val="0"/>
          <w:bCs w:val="0"/>
          <w:color w:val="auto"/>
          <w:sz w:val="32"/>
          <w:szCs w:val="32"/>
          <w:lang w:val="en-US" w:eastAsia="zh-CN"/>
        </w:rPr>
        <w:t>，湖南省财政厅关于提前下达2023年重大传染病防控资金的通知，指标金额238万元。其中：免疫规划99万元、艾滋病防治58、结核病防治18、精神卫生和慢病非传染性疾病防治25、重大传染病及健康危害因素监测38万元。</w:t>
      </w:r>
    </w:p>
    <w:p>
      <w:pPr>
        <w:widowControl/>
        <w:numPr>
          <w:ilvl w:val="0"/>
          <w:numId w:val="0"/>
        </w:numPr>
        <w:spacing w:line="540" w:lineRule="exact"/>
        <w:ind w:firstLine="640" w:firstLineChars="200"/>
        <w:jc w:val="both"/>
        <w:rPr>
          <w:rFonts w:hint="eastAsia" w:ascii="原版宋体" w:hAnsi="原版宋体" w:cs="Times New Roman"/>
          <w:b w:val="0"/>
          <w:bCs w:val="0"/>
          <w:color w:val="auto"/>
          <w:sz w:val="32"/>
          <w:szCs w:val="32"/>
          <w:lang w:val="en-US" w:eastAsia="zh-CN"/>
        </w:rPr>
      </w:pPr>
      <w:r>
        <w:rPr>
          <w:rFonts w:hint="default" w:ascii="原版宋体" w:hAnsi="原版宋体" w:cs="Times New Roman"/>
          <w:b w:val="0"/>
          <w:bCs w:val="0"/>
          <w:color w:val="auto"/>
          <w:sz w:val="32"/>
          <w:szCs w:val="32"/>
          <w:lang w:val="en-US" w:eastAsia="zh-CN"/>
        </w:rPr>
        <w:t>湘财社指[2023]</w:t>
      </w:r>
      <w:r>
        <w:rPr>
          <w:rFonts w:hint="eastAsia" w:ascii="原版宋体" w:hAnsi="原版宋体" w:cs="Times New Roman"/>
          <w:b w:val="0"/>
          <w:bCs w:val="0"/>
          <w:color w:val="auto"/>
          <w:sz w:val="32"/>
          <w:szCs w:val="32"/>
          <w:lang w:val="en-US" w:eastAsia="zh-CN"/>
        </w:rPr>
        <w:t>8</w:t>
      </w:r>
      <w:r>
        <w:rPr>
          <w:rFonts w:hint="default" w:ascii="原版宋体" w:hAnsi="原版宋体" w:cs="Times New Roman"/>
          <w:b w:val="0"/>
          <w:bCs w:val="0"/>
          <w:color w:val="auto"/>
          <w:sz w:val="32"/>
          <w:szCs w:val="32"/>
          <w:lang w:val="en-US" w:eastAsia="zh-CN"/>
        </w:rPr>
        <w:t>号</w:t>
      </w:r>
      <w:r>
        <w:rPr>
          <w:rFonts w:hint="eastAsia" w:ascii="原版宋体" w:hAnsi="原版宋体" w:cs="Times New Roman"/>
          <w:b w:val="0"/>
          <w:bCs w:val="0"/>
          <w:color w:val="auto"/>
          <w:sz w:val="32"/>
          <w:szCs w:val="32"/>
          <w:lang w:val="en-US" w:eastAsia="zh-CN"/>
        </w:rPr>
        <w:t xml:space="preserve">，湖南省财政厅关于下达2022年中央第二批重大传染病防控和医疗服务与保障能力提升补助资金的通知，指标金额79.51万元，其中：艾滋病防治23.7万元、结核病防治5.86万元、重大传染病及健康危害因素监测49.95 万元       </w:t>
      </w:r>
    </w:p>
    <w:p>
      <w:pPr>
        <w:widowControl/>
        <w:numPr>
          <w:ilvl w:val="0"/>
          <w:numId w:val="0"/>
        </w:numPr>
        <w:spacing w:line="540" w:lineRule="exact"/>
        <w:ind w:firstLine="640" w:firstLineChars="200"/>
        <w:jc w:val="both"/>
        <w:rPr>
          <w:rFonts w:hint="default" w:ascii="原版宋体" w:hAnsi="原版宋体" w:cs="Times New Roman"/>
          <w:b w:val="0"/>
          <w:bCs w:val="0"/>
          <w:color w:val="auto"/>
          <w:sz w:val="32"/>
          <w:szCs w:val="32"/>
          <w:lang w:val="en-US" w:eastAsia="zh-CN"/>
        </w:rPr>
      </w:pPr>
      <w:r>
        <w:rPr>
          <w:rFonts w:hint="eastAsia" w:ascii="原版宋体" w:hAnsi="原版宋体" w:cs="Times New Roman"/>
          <w:b w:val="0"/>
          <w:bCs w:val="0"/>
          <w:color w:val="auto"/>
          <w:sz w:val="32"/>
          <w:szCs w:val="32"/>
          <w:lang w:val="en-US" w:eastAsia="zh-CN"/>
        </w:rPr>
        <w:t>此两笔传染病防控资金共计317.51万元。</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p>
    <w:p>
      <w:pPr>
        <w:keepNext w:val="0"/>
        <w:keepLines w:val="0"/>
        <w:pageBreakBefore w:val="0"/>
        <w:numPr>
          <w:ilvl w:val="0"/>
          <w:numId w:val="1"/>
        </w:numPr>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绩效评价工作开展情况</w:t>
      </w:r>
    </w:p>
    <w:p>
      <w:pPr>
        <w:widowControl/>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（一）资金投入情况分析。</w:t>
      </w:r>
    </w:p>
    <w:p>
      <w:pPr>
        <w:widowControl/>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1、免疫规划 99万元，</w:t>
      </w:r>
      <w:r>
        <w:rPr>
          <w:rFonts w:hint="eastAsia" w:ascii="原版宋体" w:hAnsi="原版宋体" w:eastAsia="仿宋_GB2312" w:cs="Times New Roman"/>
          <w:b w:val="0"/>
          <w:bCs w:val="0"/>
          <w:color w:val="auto"/>
          <w:sz w:val="32"/>
          <w:szCs w:val="32"/>
          <w:lang w:val="en-US" w:eastAsia="zh-CN"/>
        </w:rPr>
        <w:t>主要用于扩大免疫规能力建设。</w:t>
      </w:r>
    </w:p>
    <w:p>
      <w:pPr>
        <w:widowControl/>
        <w:spacing w:line="540" w:lineRule="exact"/>
        <w:ind w:firstLine="640"/>
        <w:jc w:val="left"/>
        <w:rPr>
          <w:rFonts w:hint="eastAsia" w:ascii="原版宋体" w:hAnsi="原版宋体" w:cs="Times New Roman"/>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 xml:space="preserve">2、艾滋病防治 </w:t>
      </w:r>
      <w:r>
        <w:rPr>
          <w:rFonts w:hint="eastAsia" w:ascii="原版宋体" w:hAnsi="原版宋体" w:eastAsia="仿宋_GB2312" w:cs="Times New Roman"/>
          <w:b w:val="0"/>
          <w:bCs w:val="0"/>
          <w:color w:val="auto"/>
          <w:sz w:val="32"/>
          <w:szCs w:val="32"/>
          <w:lang w:val="en-US" w:eastAsia="zh-CN"/>
        </w:rPr>
        <w:t>艾滋病丙肝综合防治</w:t>
      </w:r>
      <w:r>
        <w:rPr>
          <w:rFonts w:hint="eastAsia" w:ascii="原版宋体" w:hAnsi="原版宋体" w:cs="Times New Roman"/>
          <w:b w:val="0"/>
          <w:bCs w:val="0"/>
          <w:color w:val="auto"/>
          <w:sz w:val="32"/>
          <w:szCs w:val="32"/>
          <w:lang w:val="en-US" w:eastAsia="zh-CN"/>
        </w:rPr>
        <w:t>44.2万元，</w:t>
      </w:r>
      <w:r>
        <w:rPr>
          <w:rFonts w:hint="eastAsia" w:ascii="原版宋体" w:hAnsi="原版宋体" w:eastAsia="仿宋_GB2312" w:cs="Times New Roman"/>
          <w:b w:val="0"/>
          <w:bCs w:val="0"/>
          <w:color w:val="auto"/>
          <w:sz w:val="32"/>
          <w:szCs w:val="32"/>
          <w:lang w:val="en-US" w:eastAsia="zh-CN"/>
        </w:rPr>
        <w:t>县人民医院抗病毒治疗</w:t>
      </w:r>
      <w:r>
        <w:rPr>
          <w:rFonts w:hint="eastAsia" w:ascii="原版宋体" w:hAnsi="原版宋体" w:cs="Times New Roman"/>
          <w:b w:val="0"/>
          <w:bCs w:val="0"/>
          <w:color w:val="auto"/>
          <w:sz w:val="32"/>
          <w:szCs w:val="32"/>
          <w:lang w:val="en-US" w:eastAsia="zh-CN"/>
        </w:rPr>
        <w:t>和随访8万元，感染者随访6.5万元，母婴传播23万元（按文件转拨县妇幼使用），合计81.7万元。</w:t>
      </w:r>
    </w:p>
    <w:p>
      <w:pPr>
        <w:widowControl/>
        <w:spacing w:line="540" w:lineRule="exact"/>
        <w:ind w:firstLine="640"/>
        <w:jc w:val="left"/>
        <w:rPr>
          <w:rFonts w:hint="eastAsia" w:ascii="原版宋体" w:hAnsi="原版宋体" w:cs="Times New Roman"/>
          <w:color w:val="auto"/>
          <w:sz w:val="32"/>
          <w:szCs w:val="32"/>
          <w:lang w:val="en-US" w:eastAsia="zh-CN"/>
        </w:rPr>
      </w:pPr>
      <w:r>
        <w:rPr>
          <w:rFonts w:hint="eastAsia" w:ascii="原版宋体" w:hAnsi="原版宋体" w:cs="Times New Roman"/>
          <w:b w:val="0"/>
          <w:bCs w:val="0"/>
          <w:color w:val="auto"/>
          <w:sz w:val="32"/>
          <w:szCs w:val="32"/>
          <w:lang w:val="en-US" w:eastAsia="zh-CN"/>
        </w:rPr>
        <w:t>3、</w:t>
      </w:r>
      <w:r>
        <w:rPr>
          <w:rFonts w:hint="eastAsia" w:ascii="原版宋体" w:hAnsi="原版宋体" w:eastAsia="楷体" w:cs="楷体"/>
          <w:color w:val="auto"/>
          <w:sz w:val="32"/>
          <w:szCs w:val="32"/>
        </w:rPr>
        <w:t>结核病防治</w:t>
      </w:r>
      <w:r>
        <w:rPr>
          <w:rFonts w:hint="eastAsia" w:ascii="原版宋体" w:hAnsi="原版宋体" w:eastAsia="楷体" w:cs="楷体"/>
          <w:color w:val="auto"/>
          <w:sz w:val="32"/>
          <w:szCs w:val="32"/>
          <w:lang w:val="en-US" w:eastAsia="zh-CN"/>
        </w:rPr>
        <w:t xml:space="preserve"> </w:t>
      </w:r>
      <w:r>
        <w:rPr>
          <w:rFonts w:hint="eastAsia" w:ascii="原版宋体" w:hAnsi="原版宋体" w:eastAsia="仿宋_GB2312" w:cs="Times New Roman"/>
          <w:color w:val="auto"/>
          <w:sz w:val="32"/>
          <w:szCs w:val="32"/>
          <w:lang w:val="en-US" w:eastAsia="zh-CN"/>
        </w:rPr>
        <w:t>23.86万元</w:t>
      </w:r>
      <w:r>
        <w:rPr>
          <w:rFonts w:hint="eastAsia" w:ascii="原版宋体" w:hAnsi="原版宋体" w:cs="Times New Roman"/>
          <w:color w:val="auto"/>
          <w:sz w:val="32"/>
          <w:szCs w:val="32"/>
          <w:lang w:val="en-US" w:eastAsia="zh-CN"/>
        </w:rPr>
        <w:t>。</w:t>
      </w:r>
    </w:p>
    <w:p>
      <w:pPr>
        <w:widowControl/>
        <w:spacing w:line="540" w:lineRule="exact"/>
        <w:ind w:firstLine="640"/>
        <w:jc w:val="left"/>
        <w:rPr>
          <w:rFonts w:hint="eastAsia" w:asciiTheme="minorEastAsia" w:hAnsiTheme="minorEastAsia" w:eastAsiaTheme="minorEastAsia" w:cstheme="minorEastAsia"/>
          <w:color w:val="auto"/>
          <w:sz w:val="32"/>
          <w:szCs w:val="32"/>
          <w:lang w:eastAsia="zh-CN"/>
        </w:rPr>
      </w:pPr>
      <w:r>
        <w:rPr>
          <w:rFonts w:hint="eastAsia" w:ascii="原版宋体" w:hAnsi="原版宋体" w:cs="Times New Roman"/>
          <w:color w:val="auto"/>
          <w:sz w:val="32"/>
          <w:szCs w:val="32"/>
          <w:lang w:val="en-US" w:eastAsia="zh-CN"/>
        </w:rPr>
        <w:t>4、</w:t>
      </w:r>
      <w:r>
        <w:rPr>
          <w:rFonts w:hint="eastAsia" w:ascii="原版宋体" w:hAnsi="原版宋体" w:eastAsia="楷体" w:cs="楷体"/>
          <w:color w:val="auto"/>
          <w:sz w:val="32"/>
          <w:szCs w:val="32"/>
        </w:rPr>
        <w:t>精神卫和慢性非传染性疾病防治</w:t>
      </w:r>
      <w:r>
        <w:rPr>
          <w:rFonts w:hint="eastAsia" w:ascii="原版宋体" w:hAnsi="原版宋体" w:eastAsia="楷体" w:cs="楷体"/>
          <w:color w:val="auto"/>
          <w:sz w:val="32"/>
          <w:szCs w:val="32"/>
          <w:lang w:val="en-US" w:eastAsia="zh-CN"/>
        </w:rPr>
        <w:t xml:space="preserve">  </w:t>
      </w:r>
      <w:r>
        <w:rPr>
          <w:rFonts w:hint="eastAsia" w:asciiTheme="minorEastAsia" w:hAnsiTheme="minorEastAsia" w:eastAsiaTheme="minorEastAsia" w:cstheme="minorEastAsia"/>
          <w:color w:val="auto"/>
          <w:sz w:val="32"/>
          <w:szCs w:val="32"/>
        </w:rPr>
        <w:t>严重精神障碍管理治疗9.</w:t>
      </w:r>
      <w:r>
        <w:rPr>
          <w:rFonts w:hint="eastAsia" w:asciiTheme="minorEastAsia" w:hAnsiTheme="minorEastAsia" w:eastAsiaTheme="minorEastAsia" w:cstheme="minorEastAsia"/>
          <w:color w:val="auto"/>
          <w:sz w:val="32"/>
          <w:szCs w:val="32"/>
          <w:lang w:val="en-US" w:eastAsia="zh-CN"/>
        </w:rPr>
        <w:t>11</w:t>
      </w:r>
      <w:r>
        <w:rPr>
          <w:rFonts w:hint="eastAsia" w:asciiTheme="minorEastAsia" w:hAnsiTheme="minorEastAsia" w:eastAsiaTheme="minorEastAsia" w:cstheme="minorEastAsia"/>
          <w:color w:val="auto"/>
          <w:sz w:val="32"/>
          <w:szCs w:val="32"/>
          <w:lang w:eastAsia="zh-CN"/>
        </w:rPr>
        <w:t>万元、</w:t>
      </w:r>
      <w:r>
        <w:rPr>
          <w:rFonts w:hint="eastAsia" w:asciiTheme="minorEastAsia" w:hAnsiTheme="minorEastAsia" w:eastAsiaTheme="minorEastAsia" w:cstheme="minorEastAsia"/>
          <w:color w:val="auto"/>
          <w:sz w:val="32"/>
          <w:szCs w:val="32"/>
        </w:rPr>
        <w:t>农村癫痫防治项目15.</w:t>
      </w:r>
      <w:r>
        <w:rPr>
          <w:rFonts w:hint="eastAsia" w:asciiTheme="minorEastAsia" w:hAnsiTheme="minorEastAsia" w:eastAsiaTheme="minorEastAsia" w:cstheme="minorEastAsia"/>
          <w:color w:val="auto"/>
          <w:sz w:val="32"/>
          <w:szCs w:val="32"/>
          <w:lang w:val="en-US" w:eastAsia="zh-CN"/>
        </w:rPr>
        <w:t>89</w:t>
      </w:r>
      <w:r>
        <w:rPr>
          <w:rFonts w:hint="eastAsia" w:asciiTheme="minorEastAsia" w:hAnsiTheme="minorEastAsia" w:eastAsiaTheme="minorEastAsia" w:cstheme="minorEastAsia"/>
          <w:color w:val="auto"/>
          <w:sz w:val="32"/>
          <w:szCs w:val="32"/>
          <w:lang w:eastAsia="zh-CN"/>
        </w:rPr>
        <w:t>万元，合计</w:t>
      </w:r>
      <w:r>
        <w:rPr>
          <w:rFonts w:hint="eastAsia" w:asciiTheme="minorEastAsia" w:hAnsiTheme="minorEastAsia" w:eastAsiaTheme="minorEastAsia" w:cstheme="minorEastAsia"/>
          <w:color w:val="auto"/>
          <w:sz w:val="32"/>
          <w:szCs w:val="32"/>
          <w:lang w:val="en-US" w:eastAsia="zh-CN"/>
        </w:rPr>
        <w:t>25</w:t>
      </w:r>
      <w:r>
        <w:rPr>
          <w:rFonts w:hint="eastAsia" w:asciiTheme="minorEastAsia" w:hAnsiTheme="minorEastAsia" w:eastAsiaTheme="minorEastAsia" w:cstheme="minorEastAsia"/>
          <w:color w:val="auto"/>
          <w:sz w:val="32"/>
          <w:szCs w:val="32"/>
          <w:lang w:eastAsia="zh-CN"/>
        </w:rPr>
        <w:t>万元。</w:t>
      </w:r>
    </w:p>
    <w:p>
      <w:pPr>
        <w:widowControl/>
        <w:spacing w:line="540" w:lineRule="exact"/>
        <w:ind w:firstLine="640"/>
        <w:jc w:val="left"/>
        <w:rPr>
          <w:rFonts w:hint="eastAsia" w:ascii="原版宋体" w:hAnsi="原版宋体" w:cs="Times New Roman"/>
          <w:color w:val="auto"/>
          <w:sz w:val="32"/>
          <w:szCs w:val="32"/>
          <w:lang w:val="en-US" w:eastAsia="zh-CN"/>
        </w:rPr>
      </w:pPr>
      <w:r>
        <w:rPr>
          <w:rFonts w:hint="eastAsia" w:ascii="原版宋体" w:hAnsi="原版宋体" w:cs="Times New Roman"/>
          <w:color w:val="auto"/>
          <w:sz w:val="32"/>
          <w:szCs w:val="32"/>
          <w:lang w:val="en-US" w:eastAsia="zh-CN"/>
        </w:rPr>
        <w:t>5、</w:t>
      </w:r>
      <w:r>
        <w:rPr>
          <w:rFonts w:hint="eastAsia" w:ascii="原版宋体" w:hAnsi="原版宋体" w:eastAsia="楷体" w:cs="楷体"/>
          <w:color w:val="auto"/>
          <w:sz w:val="32"/>
          <w:szCs w:val="32"/>
        </w:rPr>
        <w:t>重大传染病及健康危害因素监测</w:t>
      </w:r>
      <w:r>
        <w:rPr>
          <w:rFonts w:hint="eastAsia" w:ascii="原版宋体" w:hAnsi="原版宋体" w:eastAsia="楷体" w:cs="楷体"/>
          <w:color w:val="auto"/>
          <w:sz w:val="32"/>
          <w:szCs w:val="32"/>
          <w:lang w:val="en-US" w:eastAsia="zh-CN"/>
        </w:rPr>
        <w:t xml:space="preserve"> </w:t>
      </w:r>
      <w:r>
        <w:rPr>
          <w:rFonts w:hint="eastAsia" w:ascii="原版宋体" w:hAnsi="原版宋体" w:eastAsia="仿宋_GB2312" w:cs="Times New Roman"/>
          <w:color w:val="auto"/>
          <w:sz w:val="32"/>
          <w:szCs w:val="32"/>
          <w:lang w:val="en-US" w:eastAsia="zh-CN"/>
        </w:rPr>
        <w:t>学</w:t>
      </w:r>
      <w:r>
        <w:rPr>
          <w:rFonts w:hint="eastAsia" w:ascii="原版宋体" w:hAnsi="原版宋体" w:eastAsia="仿宋_GB2312" w:cs="Times New Roman"/>
          <w:color w:val="auto"/>
          <w:sz w:val="32"/>
          <w:szCs w:val="32"/>
        </w:rPr>
        <w:t>生常见病</w:t>
      </w:r>
      <w:r>
        <w:rPr>
          <w:rFonts w:hint="eastAsia" w:ascii="原版宋体" w:hAnsi="原版宋体" w:eastAsia="仿宋_GB2312" w:cs="Times New Roman"/>
          <w:color w:val="auto"/>
          <w:sz w:val="32"/>
          <w:szCs w:val="32"/>
          <w:lang w:val="en-US" w:eastAsia="zh-CN"/>
        </w:rPr>
        <w:t>20</w:t>
      </w:r>
      <w:r>
        <w:rPr>
          <w:rFonts w:hint="eastAsia" w:ascii="原版宋体" w:hAnsi="原版宋体" w:cs="Times New Roman"/>
          <w:color w:val="auto"/>
          <w:sz w:val="32"/>
          <w:szCs w:val="32"/>
          <w:lang w:eastAsia="zh-CN"/>
        </w:rPr>
        <w:t>万元、</w:t>
      </w:r>
      <w:r>
        <w:rPr>
          <w:rFonts w:hint="eastAsia" w:ascii="原版宋体" w:hAnsi="原版宋体" w:eastAsia="仿宋_GB2312" w:cs="Times New Roman"/>
          <w:color w:val="auto"/>
          <w:sz w:val="32"/>
          <w:szCs w:val="32"/>
        </w:rPr>
        <w:t>疟疾及其他寄生虫病防治</w:t>
      </w:r>
      <w:r>
        <w:rPr>
          <w:rFonts w:hint="eastAsia" w:ascii="原版宋体" w:hAnsi="原版宋体" w:eastAsia="仿宋_GB2312" w:cs="Times New Roman"/>
          <w:color w:val="auto"/>
          <w:sz w:val="32"/>
          <w:szCs w:val="32"/>
          <w:lang w:val="en-US" w:eastAsia="zh-CN"/>
        </w:rPr>
        <w:t>9.8</w:t>
      </w:r>
      <w:r>
        <w:rPr>
          <w:rFonts w:hint="eastAsia" w:ascii="原版宋体" w:hAnsi="原版宋体" w:cs="Times New Roman"/>
          <w:color w:val="auto"/>
          <w:sz w:val="32"/>
          <w:szCs w:val="32"/>
          <w:lang w:eastAsia="zh-CN"/>
        </w:rPr>
        <w:t>万元、</w:t>
      </w:r>
      <w:r>
        <w:rPr>
          <w:rFonts w:hint="eastAsia" w:ascii="原版宋体" w:hAnsi="原版宋体" w:eastAsia="仿宋_GB2312" w:cs="Times New Roman"/>
          <w:color w:val="auto"/>
          <w:sz w:val="32"/>
          <w:szCs w:val="32"/>
        </w:rPr>
        <w:t>麻风病监测</w:t>
      </w:r>
      <w:r>
        <w:rPr>
          <w:rFonts w:hint="eastAsia" w:ascii="原版宋体" w:hAnsi="原版宋体" w:eastAsia="仿宋_GB2312" w:cs="Times New Roman"/>
          <w:color w:val="auto"/>
          <w:sz w:val="32"/>
          <w:szCs w:val="32"/>
          <w:lang w:val="en-US" w:eastAsia="zh-CN"/>
        </w:rPr>
        <w:t>2.5</w:t>
      </w:r>
      <w:r>
        <w:rPr>
          <w:rFonts w:hint="eastAsia" w:ascii="原版宋体" w:hAnsi="原版宋体" w:cs="Times New Roman"/>
          <w:color w:val="auto"/>
          <w:sz w:val="32"/>
          <w:szCs w:val="32"/>
          <w:lang w:eastAsia="zh-CN"/>
        </w:rPr>
        <w:t>万元、</w:t>
      </w:r>
      <w:r>
        <w:rPr>
          <w:rFonts w:hint="eastAsia" w:ascii="原版宋体" w:hAnsi="原版宋体" w:eastAsia="仿宋_GB2312" w:cs="Times New Roman"/>
          <w:color w:val="auto"/>
          <w:sz w:val="32"/>
          <w:szCs w:val="32"/>
        </w:rPr>
        <w:t>重大传染病监测</w:t>
      </w:r>
      <w:r>
        <w:rPr>
          <w:rFonts w:hint="eastAsia" w:ascii="原版宋体" w:hAnsi="原版宋体" w:eastAsia="仿宋_GB2312" w:cs="Times New Roman"/>
          <w:color w:val="auto"/>
          <w:sz w:val="32"/>
          <w:szCs w:val="32"/>
          <w:lang w:val="en-US" w:eastAsia="zh-CN"/>
        </w:rPr>
        <w:t>16.75</w:t>
      </w:r>
      <w:r>
        <w:rPr>
          <w:rFonts w:hint="eastAsia" w:ascii="原版宋体" w:hAnsi="原版宋体" w:cs="Times New Roman"/>
          <w:color w:val="auto"/>
          <w:sz w:val="32"/>
          <w:szCs w:val="32"/>
          <w:lang w:eastAsia="zh-CN"/>
        </w:rPr>
        <w:t>万元、</w:t>
      </w:r>
      <w:r>
        <w:rPr>
          <w:rFonts w:hint="eastAsia" w:ascii="原版宋体" w:hAnsi="原版宋体" w:eastAsia="仿宋_GB2312" w:cs="Times New Roman"/>
          <w:color w:val="auto"/>
          <w:sz w:val="32"/>
          <w:szCs w:val="32"/>
        </w:rPr>
        <w:t>饮用水和环境卫生监测</w:t>
      </w:r>
      <w:r>
        <w:rPr>
          <w:rFonts w:hint="eastAsia" w:ascii="原版宋体" w:hAnsi="原版宋体" w:eastAsia="仿宋_GB2312" w:cs="Times New Roman"/>
          <w:color w:val="auto"/>
          <w:sz w:val="32"/>
          <w:szCs w:val="32"/>
          <w:lang w:val="en-US" w:eastAsia="zh-CN"/>
        </w:rPr>
        <w:t>25.89</w:t>
      </w:r>
      <w:r>
        <w:rPr>
          <w:rFonts w:hint="eastAsia" w:ascii="原版宋体" w:hAnsi="原版宋体" w:cs="Times New Roman"/>
          <w:color w:val="auto"/>
          <w:sz w:val="32"/>
          <w:szCs w:val="32"/>
          <w:lang w:eastAsia="zh-CN"/>
        </w:rPr>
        <w:t>万元、消毒监测与评价3.5，食品监测</w:t>
      </w:r>
      <w:r>
        <w:rPr>
          <w:rFonts w:hint="eastAsia" w:ascii="原版宋体" w:hAnsi="原版宋体" w:cs="Times New Roman"/>
          <w:color w:val="auto"/>
          <w:sz w:val="32"/>
          <w:szCs w:val="32"/>
          <w:lang w:val="en-US" w:eastAsia="zh-CN"/>
        </w:rPr>
        <w:t>9.51万元，</w:t>
      </w:r>
      <w:r>
        <w:rPr>
          <w:rFonts w:hint="eastAsia" w:ascii="原版宋体" w:hAnsi="原版宋体" w:cs="Times New Roman"/>
          <w:color w:val="auto"/>
          <w:sz w:val="32"/>
          <w:szCs w:val="32"/>
          <w:lang w:eastAsia="zh-CN"/>
        </w:rPr>
        <w:t>合计</w:t>
      </w:r>
      <w:r>
        <w:rPr>
          <w:rFonts w:hint="eastAsia" w:ascii="原版宋体" w:hAnsi="原版宋体" w:cs="Times New Roman"/>
          <w:color w:val="auto"/>
          <w:sz w:val="32"/>
          <w:szCs w:val="32"/>
          <w:lang w:val="en-US" w:eastAsia="zh-CN"/>
        </w:rPr>
        <w:t>87.95万元。</w:t>
      </w:r>
    </w:p>
    <w:p>
      <w:pPr>
        <w:widowControl/>
        <w:numPr>
          <w:ilvl w:val="0"/>
          <w:numId w:val="2"/>
        </w:numPr>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资金管理情况分析。</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Autospacing="0" w:line="540" w:lineRule="exact"/>
        <w:ind w:left="0" w:firstLine="640" w:firstLineChars="200"/>
        <w:jc w:val="left"/>
        <w:textAlignment w:val="auto"/>
        <w:rPr>
          <w:rFonts w:hint="eastAsia" w:asciiTheme="minorEastAsia" w:hAnsiTheme="minorEastAsia" w:eastAsiaTheme="minorEastAsia" w:cstheme="minorEastAsia"/>
          <w:color w:val="auto"/>
          <w:sz w:val="32"/>
          <w:szCs w:val="32"/>
          <w:lang w:bidi="ar-SA"/>
        </w:rPr>
      </w:pPr>
      <w:r>
        <w:rPr>
          <w:rFonts w:hint="eastAsia" w:ascii="原版宋体" w:hAnsi="原版宋体" w:eastAsia="仿宋_GB2312" w:cs="Times New Roman"/>
          <w:b w:val="0"/>
          <w:bCs w:val="0"/>
          <w:color w:val="auto"/>
          <w:sz w:val="32"/>
          <w:szCs w:val="32"/>
          <w:lang w:val="en-US" w:eastAsia="zh-CN" w:bidi="ar-SA"/>
        </w:rPr>
        <w:t xml:space="preserve"> </w:t>
      </w:r>
      <w:r>
        <w:rPr>
          <w:rFonts w:hint="eastAsia" w:asciiTheme="minorEastAsia" w:hAnsiTheme="minorEastAsia" w:eastAsiaTheme="minorEastAsia" w:cstheme="minorEastAsia"/>
          <w:color w:val="auto"/>
          <w:sz w:val="32"/>
          <w:szCs w:val="32"/>
          <w:lang w:bidi="ar-SA"/>
        </w:rPr>
        <w:t>截至目前，拨付我中心的</w:t>
      </w:r>
      <w:r>
        <w:rPr>
          <w:rFonts w:hint="eastAsia" w:asciiTheme="minorEastAsia" w:hAnsiTheme="minorEastAsia" w:eastAsiaTheme="minorEastAsia" w:cstheme="minorEastAsia"/>
          <w:color w:val="auto"/>
          <w:sz w:val="32"/>
          <w:szCs w:val="32"/>
          <w:lang w:val="en-US" w:eastAsia="zh-CN" w:bidi="ar-SA"/>
        </w:rPr>
        <w:t>中央补助“重大传染病项目经费”238万元，“医疗服务与保障能力提升项目经费”79.51万元，共计317.51万元。其中“重大传染病项目经费”中23万元“母婴阻断”经费转拨县妇幼使用，其他</w:t>
      </w:r>
      <w:r>
        <w:rPr>
          <w:rFonts w:hint="eastAsia" w:asciiTheme="minorEastAsia" w:hAnsiTheme="minorEastAsia" w:eastAsiaTheme="minorEastAsia" w:cstheme="minorEastAsia"/>
          <w:color w:val="auto"/>
          <w:sz w:val="32"/>
          <w:szCs w:val="32"/>
          <w:lang w:bidi="ar-SA"/>
        </w:rPr>
        <w:t>全部用于项目实施工作</w:t>
      </w:r>
      <w:r>
        <w:rPr>
          <w:rFonts w:hint="eastAsia" w:asciiTheme="minorEastAsia" w:hAnsiTheme="minorEastAsia" w:eastAsiaTheme="minorEastAsia" w:cstheme="minorEastAsia"/>
          <w:color w:val="auto"/>
          <w:sz w:val="32"/>
          <w:szCs w:val="32"/>
          <w:lang w:eastAsia="zh-CN" w:bidi="ar-SA"/>
        </w:rPr>
        <w:t>。</w:t>
      </w:r>
      <w:r>
        <w:rPr>
          <w:rFonts w:hint="eastAsia" w:asciiTheme="minorEastAsia" w:hAnsiTheme="minorEastAsia" w:eastAsiaTheme="minorEastAsia" w:cstheme="minorEastAsia"/>
          <w:color w:val="auto"/>
          <w:sz w:val="32"/>
          <w:szCs w:val="32"/>
          <w:lang w:bidi="ar-SA"/>
        </w:rPr>
        <w:t>按照上级要求，</w:t>
      </w:r>
      <w:r>
        <w:rPr>
          <w:rFonts w:hint="eastAsia" w:asciiTheme="minorEastAsia" w:hAnsiTheme="minorEastAsia" w:eastAsiaTheme="minorEastAsia" w:cstheme="minorEastAsia"/>
          <w:color w:val="auto"/>
          <w:sz w:val="32"/>
          <w:szCs w:val="32"/>
          <w:lang w:eastAsia="zh-CN" w:bidi="ar-SA"/>
        </w:rPr>
        <w:t>我中心</w:t>
      </w:r>
      <w:r>
        <w:rPr>
          <w:rFonts w:hint="eastAsia" w:asciiTheme="minorEastAsia" w:hAnsiTheme="minorEastAsia" w:eastAsiaTheme="minorEastAsia" w:cstheme="minorEastAsia"/>
          <w:color w:val="auto"/>
          <w:sz w:val="32"/>
          <w:szCs w:val="32"/>
          <w:lang w:bidi="ar-SA"/>
        </w:rPr>
        <w:t>成立了项目实施工作</w:t>
      </w:r>
      <w:r>
        <w:rPr>
          <w:rFonts w:hint="eastAsia" w:asciiTheme="minorEastAsia" w:hAnsiTheme="minorEastAsia" w:eastAsiaTheme="minorEastAsia" w:cstheme="minorEastAsia"/>
          <w:color w:val="auto"/>
          <w:sz w:val="32"/>
          <w:szCs w:val="32"/>
          <w:lang w:eastAsia="zh-CN" w:bidi="ar-SA"/>
        </w:rPr>
        <w:t>小组</w:t>
      </w:r>
      <w:r>
        <w:rPr>
          <w:rFonts w:hint="eastAsia" w:asciiTheme="minorEastAsia" w:hAnsiTheme="minorEastAsia" w:eastAsiaTheme="minorEastAsia" w:cstheme="minorEastAsia"/>
          <w:color w:val="auto"/>
          <w:sz w:val="32"/>
          <w:szCs w:val="32"/>
          <w:lang w:bidi="ar-SA"/>
        </w:rPr>
        <w:t>，</w:t>
      </w:r>
      <w:r>
        <w:rPr>
          <w:rFonts w:hint="eastAsia" w:asciiTheme="minorEastAsia" w:hAnsiTheme="minorEastAsia" w:eastAsiaTheme="minorEastAsia" w:cstheme="minorEastAsia"/>
          <w:color w:val="auto"/>
          <w:kern w:val="2"/>
          <w:sz w:val="32"/>
          <w:szCs w:val="32"/>
          <w:lang w:eastAsia="zh-CN" w:bidi="ar-SA"/>
        </w:rPr>
        <w:t>并按要求实施预算绩效管理，</w:t>
      </w:r>
      <w:r>
        <w:rPr>
          <w:rFonts w:hint="eastAsia" w:asciiTheme="minorEastAsia" w:hAnsiTheme="minorEastAsia" w:eastAsiaTheme="minorEastAsia" w:cstheme="minorEastAsia"/>
          <w:color w:val="auto"/>
          <w:sz w:val="32"/>
          <w:szCs w:val="32"/>
          <w:lang w:bidi="ar-SA"/>
        </w:rPr>
        <w:t>加强了项目实施督查，所有项目经费做到了专款专用，专款管理，</w:t>
      </w:r>
      <w:r>
        <w:rPr>
          <w:rFonts w:hint="eastAsia" w:asciiTheme="minorEastAsia" w:hAnsiTheme="minorEastAsia" w:eastAsiaTheme="minorEastAsia" w:cstheme="minorEastAsia"/>
          <w:color w:val="auto"/>
          <w:kern w:val="2"/>
          <w:sz w:val="32"/>
          <w:szCs w:val="32"/>
          <w:shd w:val="clear" w:color="auto" w:fill="auto"/>
          <w:lang w:bidi="ar-SA"/>
        </w:rPr>
        <w:t>严格按项目资金进行管理，执行相关财务支出管理制度，资金管理制度</w:t>
      </w:r>
      <w:r>
        <w:rPr>
          <w:rFonts w:hint="eastAsia" w:asciiTheme="minorEastAsia" w:hAnsiTheme="minorEastAsia" w:eastAsiaTheme="minorEastAsia" w:cstheme="minorEastAsia"/>
          <w:color w:val="auto"/>
          <w:kern w:val="2"/>
          <w:sz w:val="32"/>
          <w:szCs w:val="32"/>
          <w:shd w:val="clear" w:color="auto" w:fill="auto"/>
          <w:lang w:eastAsia="zh-CN" w:bidi="ar-SA"/>
        </w:rPr>
        <w:t>，</w:t>
      </w:r>
      <w:r>
        <w:rPr>
          <w:rFonts w:hint="eastAsia" w:asciiTheme="minorEastAsia" w:hAnsiTheme="minorEastAsia" w:eastAsiaTheme="minorEastAsia" w:cstheme="minorEastAsia"/>
          <w:color w:val="auto"/>
          <w:sz w:val="32"/>
          <w:szCs w:val="32"/>
          <w:lang w:bidi="ar-SA"/>
        </w:rPr>
        <w:t>确保了项目实施效果。</w:t>
      </w:r>
    </w:p>
    <w:p>
      <w:pPr>
        <w:pStyle w:val="2"/>
        <w:rPr>
          <w:rFonts w:hint="eastAsia"/>
        </w:rPr>
      </w:pPr>
    </w:p>
    <w:p>
      <w:pPr>
        <w:widowControl/>
        <w:spacing w:line="540" w:lineRule="exact"/>
        <w:ind w:firstLine="640"/>
        <w:jc w:val="left"/>
        <w:rPr>
          <w:rFonts w:hint="eastAsia" w:ascii="黑体" w:hAnsi="黑体" w:eastAsia="黑体" w:cs="黑体"/>
          <w:b w:val="0"/>
          <w:bCs w:val="0"/>
          <w:color w:val="auto"/>
          <w:sz w:val="32"/>
          <w:szCs w:val="32"/>
          <w:lang w:val="en-US" w:eastAsia="zh-CN"/>
        </w:rPr>
      </w:pPr>
      <w:r>
        <w:rPr>
          <w:rFonts w:hint="eastAsia" w:ascii="黑体" w:hAnsi="黑体" w:eastAsia="黑体" w:cs="黑体"/>
          <w:b w:val="0"/>
          <w:bCs w:val="0"/>
          <w:color w:val="auto"/>
          <w:sz w:val="32"/>
          <w:szCs w:val="32"/>
          <w:lang w:val="en-US" w:eastAsia="zh-CN"/>
        </w:rPr>
        <w:t>三、总体绩效目标完成情况分析</w:t>
      </w:r>
    </w:p>
    <w:p>
      <w:pPr>
        <w:widowControl/>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1、免疫规划</w:t>
      </w:r>
    </w:p>
    <w:p>
      <w:pPr>
        <w:widowControl/>
        <w:numPr>
          <w:ilvl w:val="0"/>
          <w:numId w:val="0"/>
        </w:numPr>
        <w:spacing w:line="540" w:lineRule="exact"/>
        <w:ind w:firstLine="640" w:firstLineChars="200"/>
        <w:jc w:val="left"/>
        <w:rPr>
          <w:rFonts w:hint="eastAsia" w:asciiTheme="minorEastAsia" w:hAnsiTheme="minorEastAsia" w:eastAsiaTheme="minorEastAsia" w:cstheme="minorEastAsia"/>
          <w:b w:val="0"/>
          <w:bCs w:val="0"/>
          <w:color w:val="auto"/>
          <w:sz w:val="32"/>
          <w:szCs w:val="32"/>
          <w:shd w:val="clear" w:color="auto" w:fill="auto"/>
          <w:lang w:val="en-US" w:eastAsia="zh-CN"/>
        </w:rPr>
      </w:pPr>
      <w:r>
        <w:rPr>
          <w:rFonts w:hint="eastAsia" w:asciiTheme="minorEastAsia" w:hAnsiTheme="minorEastAsia" w:eastAsiaTheme="minorEastAsia" w:cstheme="minorEastAsia"/>
          <w:color w:val="auto"/>
          <w:kern w:val="2"/>
          <w:sz w:val="32"/>
          <w:szCs w:val="32"/>
          <w:shd w:val="clear" w:color="auto" w:fill="auto"/>
          <w:lang w:eastAsia="zh-CN"/>
        </w:rPr>
        <w:t>完成了乡镇冷链设备及监控系统更新、疫苗运输车维护保养、添置发电机组保障中心冷链设备应急供电，保证了整个县区内接种单位的疫苗系统有效运行。开展了预防接种日及肝炎日的现场教育宣传工作。</w:t>
      </w:r>
    </w:p>
    <w:p>
      <w:pPr>
        <w:pStyle w:val="2"/>
        <w:numPr>
          <w:ilvl w:val="0"/>
          <w:numId w:val="3"/>
        </w:numPr>
        <w:ind w:firstLine="640" w:firstLineChars="200"/>
        <w:rPr>
          <w:rFonts w:hint="eastAsia" w:ascii="原版宋体" w:hAnsi="原版宋体" w:eastAsia="楷体" w:cs="楷体"/>
          <w:color w:val="auto"/>
          <w:sz w:val="32"/>
          <w:szCs w:val="32"/>
        </w:rPr>
      </w:pPr>
      <w:r>
        <w:rPr>
          <w:rFonts w:hint="eastAsia" w:ascii="原版宋体" w:hAnsi="原版宋体" w:eastAsia="楷体" w:cs="楷体"/>
          <w:color w:val="auto"/>
          <w:sz w:val="32"/>
          <w:szCs w:val="32"/>
          <w:lang w:eastAsia="zh-CN"/>
        </w:rPr>
        <w:t>艾滋病</w:t>
      </w:r>
      <w:r>
        <w:rPr>
          <w:rFonts w:hint="eastAsia" w:ascii="原版宋体" w:hAnsi="原版宋体" w:eastAsia="楷体" w:cs="楷体"/>
          <w:color w:val="auto"/>
          <w:sz w:val="32"/>
          <w:szCs w:val="32"/>
        </w:rPr>
        <w:t>防治</w:t>
      </w:r>
    </w:p>
    <w:p>
      <w:pPr>
        <w:pStyle w:val="2"/>
        <w:numPr>
          <w:ilvl w:val="0"/>
          <w:numId w:val="0"/>
        </w:numPr>
        <w:ind w:firstLine="0" w:firstLineChars="0"/>
        <w:rPr>
          <w:rFonts w:hint="eastAsia" w:ascii="原版宋体" w:hAnsi="原版宋体" w:eastAsia="仿宋_GB2312" w:cs="Times New Roman"/>
          <w:color w:val="auto"/>
          <w:sz w:val="32"/>
          <w:szCs w:val="32"/>
          <w:shd w:val="clear" w:color="auto" w:fill="auto"/>
          <w:lang w:val="en-US" w:eastAsia="zh-CN"/>
        </w:rPr>
      </w:pPr>
      <w:r>
        <w:rPr>
          <w:rFonts w:hint="eastAsia" w:asciiTheme="minorEastAsia" w:hAnsiTheme="minorEastAsia" w:eastAsiaTheme="minorEastAsia" w:cstheme="minorEastAsia"/>
          <w:color w:val="auto"/>
          <w:sz w:val="32"/>
          <w:szCs w:val="32"/>
          <w:lang w:val="en-US" w:eastAsia="zh-CN"/>
        </w:rPr>
        <w:t xml:space="preserve">    </w:t>
      </w:r>
      <w:r>
        <w:rPr>
          <w:rFonts w:hint="eastAsia" w:asciiTheme="minorEastAsia" w:hAnsiTheme="minorEastAsia" w:eastAsiaTheme="minorEastAsia" w:cstheme="minorEastAsia"/>
          <w:color w:val="auto"/>
          <w:kern w:val="2"/>
          <w:sz w:val="32"/>
          <w:szCs w:val="32"/>
          <w:u w:val="none"/>
          <w:shd w:val="clear" w:color="auto" w:fill="auto"/>
          <w:lang w:eastAsia="zh-CN"/>
        </w:rPr>
        <w:t>扩大了艾滋病防治宣传覆盖面，加强重点人群宣传和干预，扩大了艾滋病</w:t>
      </w:r>
      <w:r>
        <w:rPr>
          <w:rFonts w:hint="eastAsia" w:asciiTheme="minorEastAsia" w:hAnsiTheme="minorEastAsia" w:eastAsiaTheme="minorEastAsia" w:cstheme="minorEastAsia"/>
          <w:color w:val="auto"/>
          <w:kern w:val="2"/>
          <w:sz w:val="32"/>
          <w:szCs w:val="32"/>
          <w:shd w:val="clear" w:color="auto" w:fill="auto"/>
          <w:lang w:eastAsia="zh-CN"/>
        </w:rPr>
        <w:t>抗病毒治疗覆盖面，提高了随访管理质量</w:t>
      </w:r>
      <w:r>
        <w:rPr>
          <w:rFonts w:hint="eastAsia" w:ascii="原版宋体" w:hAnsi="原版宋体" w:eastAsia="仿宋_GB2312" w:cs="Times New Roman"/>
          <w:color w:val="auto"/>
          <w:kern w:val="2"/>
          <w:sz w:val="32"/>
          <w:szCs w:val="32"/>
          <w:shd w:val="clear" w:color="auto" w:fill="auto"/>
          <w:lang w:eastAsia="zh-CN"/>
        </w:rPr>
        <w:t>。</w:t>
      </w:r>
    </w:p>
    <w:p>
      <w:pPr>
        <w:pStyle w:val="2"/>
        <w:numPr>
          <w:ilvl w:val="0"/>
          <w:numId w:val="3"/>
        </w:numPr>
        <w:ind w:firstLine="640" w:firstLineChars="200"/>
        <w:rPr>
          <w:rFonts w:hint="eastAsia" w:ascii="原版宋体" w:hAnsi="原版宋体" w:eastAsia="楷体" w:cs="楷体"/>
          <w:color w:val="auto"/>
          <w:sz w:val="32"/>
          <w:szCs w:val="32"/>
        </w:rPr>
      </w:pPr>
      <w:r>
        <w:rPr>
          <w:rFonts w:hint="eastAsia" w:ascii="原版宋体" w:hAnsi="原版宋体" w:eastAsia="楷体" w:cs="楷体"/>
          <w:color w:val="auto"/>
          <w:sz w:val="32"/>
          <w:szCs w:val="32"/>
        </w:rPr>
        <w:t>结核病防治</w:t>
      </w:r>
    </w:p>
    <w:p>
      <w:pPr>
        <w:pStyle w:val="2"/>
        <w:numPr>
          <w:ilvl w:val="0"/>
          <w:numId w:val="0"/>
        </w:numPr>
        <w:ind w:firstLine="0" w:firstLineChars="0"/>
        <w:rPr>
          <w:rFonts w:hint="default" w:ascii="原版宋体" w:hAnsi="原版宋体" w:eastAsia="楷体" w:cs="楷体"/>
          <w:color w:val="auto"/>
          <w:sz w:val="32"/>
          <w:szCs w:val="32"/>
          <w:lang w:val="en-US" w:eastAsia="zh-CN"/>
        </w:rPr>
      </w:pPr>
      <w:r>
        <w:rPr>
          <w:rFonts w:hint="eastAsia" w:ascii="原版宋体" w:hAnsi="原版宋体" w:eastAsia="楷体" w:cs="楷体"/>
          <w:color w:val="auto"/>
          <w:sz w:val="32"/>
          <w:szCs w:val="32"/>
          <w:lang w:val="en-US" w:eastAsia="zh-CN"/>
        </w:rPr>
        <w:t xml:space="preserve">    </w:t>
      </w:r>
      <w:r>
        <w:rPr>
          <w:rFonts w:hint="eastAsia" w:ascii="原版宋体" w:hAnsi="原版宋体" w:eastAsia="仿宋_GB2312" w:cs="Times New Roman"/>
          <w:color w:val="auto"/>
          <w:kern w:val="2"/>
          <w:sz w:val="32"/>
          <w:szCs w:val="32"/>
          <w:shd w:val="clear" w:color="auto" w:fill="auto"/>
        </w:rPr>
        <w:t>规范</w:t>
      </w:r>
      <w:r>
        <w:rPr>
          <w:rFonts w:hint="eastAsia" w:ascii="原版宋体" w:hAnsi="原版宋体" w:cs="Times New Roman"/>
          <w:color w:val="auto"/>
          <w:kern w:val="2"/>
          <w:sz w:val="32"/>
          <w:szCs w:val="32"/>
          <w:shd w:val="clear" w:color="auto" w:fill="auto"/>
          <w:lang w:eastAsia="zh-CN"/>
        </w:rPr>
        <w:t>了</w:t>
      </w:r>
      <w:r>
        <w:rPr>
          <w:rFonts w:hint="eastAsia" w:ascii="原版宋体" w:hAnsi="原版宋体" w:eastAsia="仿宋_GB2312" w:cs="Times New Roman"/>
          <w:color w:val="auto"/>
          <w:kern w:val="2"/>
          <w:sz w:val="32"/>
          <w:szCs w:val="32"/>
          <w:shd w:val="clear" w:color="auto" w:fill="auto"/>
        </w:rPr>
        <w:t>结核病管理</w:t>
      </w:r>
      <w:r>
        <w:rPr>
          <w:rFonts w:hint="eastAsia" w:ascii="原版宋体" w:hAnsi="原版宋体" w:cs="Times New Roman"/>
          <w:color w:val="auto"/>
          <w:kern w:val="2"/>
          <w:sz w:val="32"/>
          <w:szCs w:val="32"/>
          <w:shd w:val="clear" w:color="auto" w:fill="auto"/>
          <w:lang w:eastAsia="zh-CN"/>
        </w:rPr>
        <w:t>及</w:t>
      </w:r>
      <w:r>
        <w:rPr>
          <w:rFonts w:hint="eastAsia" w:ascii="原版宋体" w:hAnsi="原版宋体" w:eastAsia="仿宋_GB2312" w:cs="Times New Roman"/>
          <w:color w:val="auto"/>
          <w:kern w:val="2"/>
          <w:sz w:val="32"/>
          <w:szCs w:val="32"/>
          <w:u w:val="none"/>
          <w:shd w:val="clear" w:color="auto" w:fill="auto"/>
        </w:rPr>
        <w:t>结核病规范服药</w:t>
      </w:r>
      <w:r>
        <w:rPr>
          <w:rFonts w:hint="eastAsia" w:ascii="原版宋体" w:hAnsi="原版宋体" w:cs="Times New Roman"/>
          <w:color w:val="auto"/>
          <w:kern w:val="2"/>
          <w:sz w:val="32"/>
          <w:szCs w:val="32"/>
          <w:u w:val="none"/>
          <w:shd w:val="clear" w:color="auto" w:fill="auto"/>
          <w:lang w:eastAsia="zh-CN"/>
        </w:rPr>
        <w:t>，</w:t>
      </w:r>
      <w:r>
        <w:rPr>
          <w:rFonts w:hint="eastAsia" w:ascii="原版宋体" w:hAnsi="原版宋体" w:eastAsia="仿宋_GB2312" w:cs="Times New Roman"/>
          <w:color w:val="auto"/>
          <w:kern w:val="2"/>
          <w:sz w:val="32"/>
          <w:szCs w:val="32"/>
          <w:shd w:val="clear" w:color="auto" w:fill="auto"/>
          <w:lang w:eastAsia="zh-CN"/>
        </w:rPr>
        <w:t>对</w:t>
      </w:r>
      <w:r>
        <w:rPr>
          <w:rFonts w:hint="eastAsia" w:ascii="原版宋体" w:hAnsi="原版宋体" w:eastAsia="仿宋_GB2312" w:cs="Times New Roman"/>
          <w:color w:val="auto"/>
          <w:kern w:val="2"/>
          <w:sz w:val="32"/>
          <w:szCs w:val="32"/>
          <w:shd w:val="clear" w:color="auto" w:fill="auto"/>
          <w:lang w:val="en-US" w:eastAsia="zh-CN"/>
        </w:rPr>
        <w:t>病原学阳性肺结核患者密切接触者、入学新生、糖尿病患者、65岁及以上老年人群进行</w:t>
      </w:r>
      <w:r>
        <w:rPr>
          <w:rFonts w:hint="eastAsia" w:ascii="原版宋体" w:hAnsi="原版宋体" w:cs="Times New Roman"/>
          <w:color w:val="auto"/>
          <w:kern w:val="2"/>
          <w:sz w:val="32"/>
          <w:szCs w:val="32"/>
          <w:shd w:val="clear" w:color="auto" w:fill="auto"/>
          <w:lang w:val="en-US" w:eastAsia="zh-CN"/>
        </w:rPr>
        <w:t>了</w:t>
      </w:r>
      <w:r>
        <w:rPr>
          <w:rFonts w:hint="eastAsia" w:ascii="原版宋体" w:hAnsi="原版宋体" w:eastAsia="仿宋_GB2312" w:cs="Times New Roman"/>
          <w:color w:val="auto"/>
          <w:kern w:val="2"/>
          <w:sz w:val="32"/>
          <w:szCs w:val="32"/>
          <w:shd w:val="clear" w:color="auto" w:fill="auto"/>
          <w:lang w:val="en-US" w:eastAsia="zh-CN"/>
        </w:rPr>
        <w:t>肺结核筛查。</w:t>
      </w:r>
    </w:p>
    <w:p>
      <w:pPr>
        <w:pStyle w:val="2"/>
        <w:numPr>
          <w:ilvl w:val="0"/>
          <w:numId w:val="3"/>
        </w:numPr>
        <w:ind w:firstLine="640" w:firstLineChars="200"/>
        <w:rPr>
          <w:rFonts w:hint="eastAsia" w:ascii="原版宋体" w:hAnsi="原版宋体" w:eastAsia="楷体" w:cs="楷体"/>
          <w:color w:val="auto"/>
          <w:sz w:val="32"/>
          <w:szCs w:val="32"/>
        </w:rPr>
      </w:pPr>
      <w:r>
        <w:rPr>
          <w:rFonts w:hint="eastAsia" w:ascii="原版宋体" w:hAnsi="原版宋体" w:eastAsia="楷体" w:cs="楷体"/>
          <w:color w:val="auto"/>
          <w:sz w:val="32"/>
          <w:szCs w:val="32"/>
        </w:rPr>
        <w:t>精神卫和慢性非传染性疾病防治</w:t>
      </w:r>
      <w:r>
        <w:rPr>
          <w:rFonts w:hint="eastAsia" w:ascii="原版宋体" w:hAnsi="原版宋体" w:eastAsia="楷体" w:cs="楷体"/>
          <w:color w:val="auto"/>
          <w:sz w:val="32"/>
          <w:szCs w:val="32"/>
          <w:lang w:val="en-US" w:eastAsia="zh-CN"/>
        </w:rPr>
        <w:t xml:space="preserve">  </w:t>
      </w:r>
    </w:p>
    <w:p>
      <w:pPr>
        <w:pStyle w:val="2"/>
        <w:numPr>
          <w:ilvl w:val="0"/>
          <w:numId w:val="0"/>
        </w:numPr>
        <w:ind w:firstLine="640" w:firstLineChars="200"/>
        <w:rPr>
          <w:rFonts w:hint="eastAsia" w:asciiTheme="minorEastAsia" w:hAnsiTheme="minorEastAsia" w:eastAsiaTheme="minorEastAsia" w:cstheme="minorEastAsia"/>
          <w:color w:val="auto"/>
          <w:sz w:val="32"/>
          <w:szCs w:val="32"/>
          <w:lang w:val="en-US" w:eastAsia="zh-CN"/>
        </w:rPr>
      </w:pPr>
      <w:r>
        <w:rPr>
          <w:rFonts w:hint="eastAsia" w:asciiTheme="minorEastAsia" w:hAnsiTheme="minorEastAsia" w:eastAsiaTheme="minorEastAsia" w:cstheme="minorEastAsia"/>
          <w:color w:val="auto"/>
          <w:sz w:val="32"/>
          <w:szCs w:val="32"/>
          <w:lang w:val="en-US" w:eastAsia="zh-CN"/>
        </w:rPr>
        <w:t>完成了严重精神障碍患者管理培训、督导、网络巡查、危险性评估，对农村癫痫筛排查、入组、随访、信息填报等作，完成了死因监测、恶性肿瘤报告、高血压、糖尿病患者监测等工作，并深入开展了各个慢性病相关宣传活动。</w:t>
      </w:r>
    </w:p>
    <w:p>
      <w:pPr>
        <w:pStyle w:val="2"/>
        <w:numPr>
          <w:ilvl w:val="0"/>
          <w:numId w:val="3"/>
        </w:numPr>
        <w:ind w:firstLine="640" w:firstLineChars="200"/>
        <w:rPr>
          <w:rFonts w:hint="eastAsia" w:ascii="原版宋体" w:hAnsi="原版宋体" w:eastAsia="楷体" w:cs="楷体"/>
          <w:color w:val="auto"/>
          <w:sz w:val="32"/>
          <w:szCs w:val="32"/>
        </w:rPr>
      </w:pPr>
      <w:r>
        <w:rPr>
          <w:rFonts w:hint="eastAsia" w:ascii="原版宋体" w:hAnsi="原版宋体" w:eastAsia="楷体" w:cs="楷体"/>
          <w:color w:val="auto"/>
          <w:sz w:val="32"/>
          <w:szCs w:val="32"/>
        </w:rPr>
        <w:t>重大传染病及健康危害因素监测</w:t>
      </w:r>
    </w:p>
    <w:p>
      <w:pPr>
        <w:pStyle w:val="2"/>
        <w:numPr>
          <w:ilvl w:val="0"/>
          <w:numId w:val="0"/>
        </w:numPr>
        <w:ind w:firstLine="640" w:firstLineChars="200"/>
        <w:rPr>
          <w:rFonts w:hint="eastAsia" w:asciiTheme="minorEastAsia" w:hAnsiTheme="minorEastAsia" w:eastAsiaTheme="minorEastAsia" w:cstheme="minorEastAsia"/>
          <w:color w:val="auto"/>
          <w:sz w:val="32"/>
          <w:szCs w:val="32"/>
        </w:rPr>
      </w:pPr>
      <w:r>
        <w:rPr>
          <w:rFonts w:hint="eastAsia" w:asciiTheme="minorEastAsia" w:hAnsiTheme="minorEastAsia" w:eastAsiaTheme="minorEastAsia" w:cstheme="minorEastAsia"/>
          <w:color w:val="auto"/>
          <w:kern w:val="2"/>
          <w:sz w:val="32"/>
          <w:szCs w:val="32"/>
          <w:lang w:eastAsia="zh-CN"/>
        </w:rPr>
        <w:t>对学生常见病进行了</w:t>
      </w:r>
      <w:r>
        <w:rPr>
          <w:rFonts w:hint="eastAsia" w:asciiTheme="minorEastAsia" w:hAnsiTheme="minorEastAsia" w:eastAsiaTheme="minorEastAsia" w:cstheme="minorEastAsia"/>
          <w:color w:val="auto"/>
          <w:kern w:val="2"/>
          <w:sz w:val="32"/>
          <w:szCs w:val="32"/>
        </w:rPr>
        <w:t>现场筛查</w:t>
      </w:r>
      <w:r>
        <w:rPr>
          <w:rFonts w:hint="eastAsia" w:asciiTheme="minorEastAsia" w:hAnsiTheme="minorEastAsia" w:eastAsiaTheme="minorEastAsia" w:cstheme="minorEastAsia"/>
          <w:color w:val="auto"/>
          <w:kern w:val="2"/>
          <w:sz w:val="32"/>
          <w:szCs w:val="32"/>
          <w:lang w:eastAsia="zh-CN"/>
        </w:rPr>
        <w:t>及</w:t>
      </w:r>
      <w:r>
        <w:rPr>
          <w:rFonts w:hint="eastAsia" w:asciiTheme="minorEastAsia" w:hAnsiTheme="minorEastAsia" w:eastAsiaTheme="minorEastAsia" w:cstheme="minorEastAsia"/>
          <w:color w:val="auto"/>
          <w:kern w:val="2"/>
          <w:sz w:val="32"/>
          <w:szCs w:val="32"/>
        </w:rPr>
        <w:t>问卷调查</w:t>
      </w:r>
      <w:r>
        <w:rPr>
          <w:rFonts w:hint="eastAsia" w:asciiTheme="minorEastAsia" w:hAnsiTheme="minorEastAsia" w:eastAsiaTheme="minorEastAsia" w:cstheme="minorEastAsia"/>
          <w:color w:val="auto"/>
          <w:kern w:val="2"/>
          <w:sz w:val="32"/>
          <w:szCs w:val="32"/>
          <w:lang w:eastAsia="zh-CN"/>
        </w:rPr>
        <w:t>；对</w:t>
      </w:r>
      <w:r>
        <w:rPr>
          <w:rFonts w:hint="eastAsia" w:asciiTheme="minorEastAsia" w:hAnsiTheme="minorEastAsia" w:eastAsiaTheme="minorEastAsia" w:cstheme="minorEastAsia"/>
          <w:color w:val="auto"/>
          <w:kern w:val="2"/>
          <w:sz w:val="32"/>
          <w:szCs w:val="32"/>
        </w:rPr>
        <w:t>重点传染病</w:t>
      </w:r>
      <w:r>
        <w:rPr>
          <w:rFonts w:hint="eastAsia" w:asciiTheme="minorEastAsia" w:hAnsiTheme="minorEastAsia" w:eastAsiaTheme="minorEastAsia" w:cstheme="minorEastAsia"/>
          <w:color w:val="auto"/>
          <w:kern w:val="2"/>
          <w:sz w:val="32"/>
          <w:szCs w:val="32"/>
          <w:lang w:eastAsia="zh-CN"/>
        </w:rPr>
        <w:t>进行</w:t>
      </w:r>
      <w:r>
        <w:rPr>
          <w:rFonts w:hint="eastAsia" w:asciiTheme="minorEastAsia" w:hAnsiTheme="minorEastAsia" w:eastAsiaTheme="minorEastAsia" w:cstheme="minorEastAsia"/>
          <w:color w:val="auto"/>
          <w:kern w:val="2"/>
          <w:sz w:val="32"/>
          <w:szCs w:val="32"/>
        </w:rPr>
        <w:t>常规监测，</w:t>
      </w:r>
      <w:r>
        <w:rPr>
          <w:rFonts w:hint="eastAsia" w:asciiTheme="minorEastAsia" w:hAnsiTheme="minorEastAsia" w:eastAsiaTheme="minorEastAsia" w:cstheme="minorEastAsia"/>
          <w:color w:val="auto"/>
          <w:kern w:val="2"/>
          <w:sz w:val="32"/>
          <w:szCs w:val="32"/>
          <w:lang w:val="en-US" w:eastAsia="zh-CN"/>
        </w:rPr>
        <w:t>发热病人疟原虫血检，</w:t>
      </w:r>
      <w:r>
        <w:rPr>
          <w:rFonts w:hint="eastAsia" w:asciiTheme="minorEastAsia" w:hAnsiTheme="minorEastAsia" w:eastAsiaTheme="minorEastAsia" w:cstheme="minorEastAsia"/>
          <w:color w:val="auto"/>
          <w:kern w:val="2"/>
          <w:sz w:val="32"/>
          <w:szCs w:val="32"/>
        </w:rPr>
        <w:t>麻风病症状监测，病人随访，疫点调查</w:t>
      </w:r>
      <w:r>
        <w:rPr>
          <w:rFonts w:hint="eastAsia" w:asciiTheme="minorEastAsia" w:hAnsiTheme="minorEastAsia" w:eastAsiaTheme="minorEastAsia" w:cstheme="minorEastAsia"/>
          <w:color w:val="auto"/>
          <w:kern w:val="2"/>
          <w:sz w:val="32"/>
          <w:szCs w:val="32"/>
          <w:lang w:eastAsia="zh-CN"/>
        </w:rPr>
        <w:t>；</w:t>
      </w:r>
      <w:r>
        <w:rPr>
          <w:rFonts w:hint="eastAsia" w:asciiTheme="minorEastAsia" w:hAnsiTheme="minorEastAsia" w:eastAsiaTheme="minorEastAsia" w:cstheme="minorEastAsia"/>
          <w:color w:val="auto"/>
          <w:spacing w:val="-6"/>
          <w:kern w:val="2"/>
          <w:sz w:val="32"/>
          <w:szCs w:val="32"/>
          <w:lang w:eastAsia="zh-CN"/>
        </w:rPr>
        <w:t>开展了全县</w:t>
      </w:r>
      <w:r>
        <w:rPr>
          <w:rFonts w:hint="eastAsia" w:asciiTheme="minorEastAsia" w:hAnsiTheme="minorEastAsia" w:eastAsiaTheme="minorEastAsia" w:cstheme="minorEastAsia"/>
          <w:color w:val="auto"/>
          <w:spacing w:val="-6"/>
          <w:kern w:val="2"/>
          <w:sz w:val="32"/>
          <w:szCs w:val="32"/>
        </w:rPr>
        <w:t>公共场所、饮用水（含二次供水）</w:t>
      </w:r>
      <w:r>
        <w:rPr>
          <w:rFonts w:hint="eastAsia" w:asciiTheme="minorEastAsia" w:hAnsiTheme="minorEastAsia" w:eastAsiaTheme="minorEastAsia" w:cstheme="minorEastAsia"/>
          <w:color w:val="auto"/>
          <w:spacing w:val="-6"/>
          <w:kern w:val="2"/>
          <w:sz w:val="32"/>
          <w:szCs w:val="32"/>
          <w:lang w:eastAsia="zh-CN"/>
        </w:rPr>
        <w:t>农村</w:t>
      </w:r>
      <w:r>
        <w:rPr>
          <w:rFonts w:hint="eastAsia" w:asciiTheme="minorEastAsia" w:hAnsiTheme="minorEastAsia" w:eastAsiaTheme="minorEastAsia" w:cstheme="minorEastAsia"/>
          <w:color w:val="auto"/>
          <w:spacing w:val="-6"/>
          <w:kern w:val="2"/>
          <w:sz w:val="32"/>
          <w:szCs w:val="32"/>
        </w:rPr>
        <w:t>卫生</w:t>
      </w:r>
      <w:r>
        <w:rPr>
          <w:rFonts w:hint="eastAsia" w:asciiTheme="minorEastAsia" w:hAnsiTheme="minorEastAsia" w:eastAsiaTheme="minorEastAsia" w:cstheme="minorEastAsia"/>
          <w:color w:val="auto"/>
          <w:spacing w:val="-6"/>
          <w:kern w:val="2"/>
          <w:sz w:val="32"/>
          <w:szCs w:val="32"/>
          <w:lang w:eastAsia="zh-CN"/>
        </w:rPr>
        <w:t>环境</w:t>
      </w:r>
      <w:r>
        <w:rPr>
          <w:rFonts w:hint="eastAsia" w:asciiTheme="minorEastAsia" w:hAnsiTheme="minorEastAsia" w:eastAsiaTheme="minorEastAsia" w:cstheme="minorEastAsia"/>
          <w:color w:val="auto"/>
          <w:spacing w:val="-6"/>
          <w:kern w:val="2"/>
          <w:sz w:val="32"/>
          <w:szCs w:val="32"/>
        </w:rPr>
        <w:t>等监测工作</w:t>
      </w:r>
      <w:r>
        <w:rPr>
          <w:rFonts w:hint="eastAsia" w:asciiTheme="minorEastAsia" w:hAnsiTheme="minorEastAsia" w:eastAsiaTheme="minorEastAsia" w:cstheme="minorEastAsia"/>
          <w:color w:val="auto"/>
          <w:spacing w:val="-6"/>
          <w:kern w:val="2"/>
          <w:sz w:val="32"/>
          <w:szCs w:val="32"/>
          <w:lang w:eastAsia="zh-CN"/>
        </w:rPr>
        <w:t>。</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四、绩效评价指标分析</w:t>
      </w:r>
    </w:p>
    <w:p>
      <w:pPr>
        <w:widowControl/>
        <w:numPr>
          <w:ilvl w:val="0"/>
          <w:numId w:val="4"/>
        </w:numPr>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免疫规划</w:t>
      </w:r>
    </w:p>
    <w:p>
      <w:pPr>
        <w:widowControl/>
        <w:numPr>
          <w:ilvl w:val="0"/>
          <w:numId w:val="0"/>
        </w:numPr>
        <w:spacing w:line="540" w:lineRule="exact"/>
        <w:ind w:firstLine="640" w:firstLineChars="200"/>
        <w:jc w:val="left"/>
        <w:rPr>
          <w:rFonts w:hint="eastAsia" w:asciiTheme="minorEastAsia" w:hAnsiTheme="minorEastAsia" w:eastAsiaTheme="minorEastAsia" w:cstheme="minorEastAsia"/>
          <w:b w:val="0"/>
          <w:bCs w:val="0"/>
          <w:color w:val="auto"/>
          <w:sz w:val="32"/>
          <w:szCs w:val="32"/>
          <w:shd w:val="clear" w:color="auto" w:fill="auto"/>
          <w:lang w:val="en-US" w:eastAsia="zh-CN"/>
        </w:rPr>
      </w:pPr>
      <w:r>
        <w:rPr>
          <w:rFonts w:hint="eastAsia" w:asciiTheme="minorEastAsia" w:hAnsiTheme="minorEastAsia" w:eastAsiaTheme="minorEastAsia" w:cstheme="minorEastAsia"/>
          <w:color w:val="auto"/>
          <w:kern w:val="2"/>
          <w:sz w:val="32"/>
          <w:szCs w:val="32"/>
          <w:shd w:val="clear" w:color="auto" w:fill="auto"/>
          <w:lang w:eastAsia="zh-CN"/>
        </w:rPr>
        <w:t>对</w:t>
      </w:r>
      <w:r>
        <w:rPr>
          <w:rFonts w:hint="eastAsia" w:asciiTheme="minorEastAsia" w:hAnsiTheme="minorEastAsia" w:eastAsiaTheme="minorEastAsia" w:cstheme="minorEastAsia"/>
          <w:color w:val="auto"/>
          <w:kern w:val="2"/>
          <w:sz w:val="32"/>
          <w:szCs w:val="32"/>
          <w:shd w:val="clear" w:color="auto" w:fill="auto"/>
          <w:lang w:val="en-US" w:eastAsia="zh-CN"/>
        </w:rPr>
        <w:t>21个接种单位的</w:t>
      </w:r>
      <w:r>
        <w:rPr>
          <w:rFonts w:hint="eastAsia" w:asciiTheme="minorEastAsia" w:hAnsiTheme="minorEastAsia" w:eastAsiaTheme="minorEastAsia" w:cstheme="minorEastAsia"/>
          <w:color w:val="auto"/>
          <w:kern w:val="2"/>
          <w:sz w:val="32"/>
          <w:szCs w:val="32"/>
          <w:shd w:val="clear" w:color="auto" w:fill="auto"/>
          <w:lang w:eastAsia="zh-CN"/>
        </w:rPr>
        <w:t>冷链设备及监控系统更新；对疫苗运输车进行了维护保养，保障了疫苗运转能力；中心添置发电机组设备，保障了中心冷链设备应急供电，保证了整个县区内接种单位的疫苗系统有效运行。年内开展了“预防接种日”及“肝炎日”的两次大型现场宣教工作。</w:t>
      </w:r>
    </w:p>
    <w:p>
      <w:pPr>
        <w:widowControl/>
        <w:numPr>
          <w:ilvl w:val="0"/>
          <w:numId w:val="4"/>
        </w:numPr>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艾滋病防治</w:t>
      </w:r>
    </w:p>
    <w:p>
      <w:pPr>
        <w:widowControl/>
        <w:numPr>
          <w:ilvl w:val="0"/>
          <w:numId w:val="0"/>
        </w:numPr>
        <w:spacing w:line="540" w:lineRule="exact"/>
        <w:ind w:firstLine="616" w:firstLineChars="200"/>
        <w:jc w:val="left"/>
        <w:rPr>
          <w:rFonts w:hint="eastAsia" w:asciiTheme="minorEastAsia" w:hAnsiTheme="minorEastAsia" w:eastAsiaTheme="minorEastAsia" w:cstheme="minorEastAsia"/>
          <w:b w:val="0"/>
          <w:bCs w:val="0"/>
          <w:color w:val="auto"/>
          <w:sz w:val="32"/>
          <w:szCs w:val="32"/>
          <w:shd w:val="clear" w:color="auto" w:fill="auto"/>
          <w:lang w:val="en-US" w:eastAsia="zh-CN" w:bidi="ar"/>
        </w:rPr>
      </w:pPr>
      <w:r>
        <w:rPr>
          <w:rStyle w:val="18"/>
          <w:rFonts w:hint="eastAsia" w:asciiTheme="minorEastAsia" w:hAnsiTheme="minorEastAsia" w:eastAsiaTheme="minorEastAsia" w:cstheme="minorEastAsia"/>
          <w:color w:val="auto"/>
          <w:spacing w:val="-6"/>
          <w:kern w:val="2"/>
          <w:sz w:val="32"/>
          <w:szCs w:val="32"/>
          <w:shd w:val="clear" w:color="auto" w:fill="auto"/>
          <w:lang w:val="en-US" w:eastAsia="zh-CN" w:bidi="ar"/>
        </w:rPr>
        <w:t>VCT</w:t>
      </w:r>
      <w:r>
        <w:rPr>
          <w:rStyle w:val="19"/>
          <w:rFonts w:hint="eastAsia" w:asciiTheme="minorEastAsia" w:hAnsiTheme="minorEastAsia" w:eastAsiaTheme="minorEastAsia" w:cstheme="minorEastAsia"/>
          <w:color w:val="auto"/>
          <w:spacing w:val="-6"/>
          <w:kern w:val="2"/>
          <w:sz w:val="32"/>
          <w:szCs w:val="32"/>
          <w:shd w:val="clear" w:color="auto" w:fill="auto"/>
          <w:lang w:val="en-US" w:eastAsia="zh-CN" w:bidi="ar"/>
        </w:rPr>
        <w:t>门诊任务量</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965人次，实际完成</w:t>
      </w:r>
      <w:r>
        <w:rPr>
          <w:rFonts w:hint="eastAsia" w:asciiTheme="minorEastAsia" w:hAnsiTheme="minorEastAsia" w:eastAsiaTheme="minorEastAsia" w:cstheme="minorEastAsia"/>
          <w:color w:val="auto"/>
          <w:kern w:val="2"/>
          <w:sz w:val="32"/>
          <w:szCs w:val="32"/>
          <w:shd w:val="clear" w:color="auto" w:fill="auto"/>
          <w:lang w:val="en-US" w:eastAsia="zh-CN" w:bidi="ar"/>
        </w:rPr>
        <w:t>966人次；</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暗娼干预任务量460人次，实际完成</w:t>
      </w:r>
      <w:r>
        <w:rPr>
          <w:rFonts w:hint="eastAsia" w:asciiTheme="minorEastAsia" w:hAnsiTheme="minorEastAsia" w:eastAsiaTheme="minorEastAsia" w:cstheme="minorEastAsia"/>
          <w:color w:val="auto"/>
          <w:kern w:val="2"/>
          <w:sz w:val="32"/>
          <w:szCs w:val="32"/>
          <w:shd w:val="clear" w:color="auto" w:fill="auto"/>
          <w:lang w:val="en-US" w:eastAsia="zh-CN" w:bidi="ar"/>
        </w:rPr>
        <w:t>465人次,</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性病门诊就诊者干预任务量1165人次，实际完成</w:t>
      </w:r>
      <w:r>
        <w:rPr>
          <w:rFonts w:hint="eastAsia" w:asciiTheme="minorEastAsia" w:hAnsiTheme="minorEastAsia" w:eastAsiaTheme="minorEastAsia" w:cstheme="minorEastAsia"/>
          <w:color w:val="auto"/>
          <w:kern w:val="2"/>
          <w:sz w:val="32"/>
          <w:szCs w:val="32"/>
          <w:shd w:val="clear" w:color="auto" w:fill="auto"/>
          <w:lang w:val="en-US" w:eastAsia="zh-CN" w:bidi="ar"/>
        </w:rPr>
        <w:t>1215人次；</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艾滋病抗病毒治疗率90%，实际完成</w:t>
      </w:r>
      <w:r>
        <w:rPr>
          <w:rFonts w:hint="eastAsia" w:asciiTheme="minorEastAsia" w:hAnsiTheme="minorEastAsia" w:eastAsiaTheme="minorEastAsia" w:cstheme="minorEastAsia"/>
          <w:color w:val="auto"/>
          <w:kern w:val="2"/>
          <w:sz w:val="32"/>
          <w:szCs w:val="32"/>
          <w:u w:val="none"/>
          <w:shd w:val="clear" w:color="auto" w:fill="auto"/>
          <w:lang w:val="en-US" w:eastAsia="zh-CN" w:bidi="ar"/>
        </w:rPr>
        <w:t xml:space="preserve"> 97.9%；</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随访及CD4检测率、配偶/固定性伴检测比例、结核检测比例100%，实际完成</w:t>
      </w:r>
      <w:r>
        <w:rPr>
          <w:rFonts w:hint="eastAsia" w:asciiTheme="minorEastAsia" w:hAnsiTheme="minorEastAsia" w:eastAsiaTheme="minorEastAsia" w:cstheme="minorEastAsia"/>
          <w:color w:val="auto"/>
          <w:kern w:val="2"/>
          <w:sz w:val="32"/>
          <w:szCs w:val="32"/>
          <w:u w:val="none"/>
          <w:shd w:val="clear" w:color="auto" w:fill="auto"/>
          <w:lang w:val="en-US" w:eastAsia="zh-CN" w:bidi="ar"/>
        </w:rPr>
        <w:t>100%；</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常住人口检测比例24%以上（177600人次），实际完成2</w:t>
      </w:r>
      <w:r>
        <w:rPr>
          <w:rFonts w:hint="eastAsia" w:asciiTheme="minorEastAsia" w:hAnsiTheme="minorEastAsia" w:eastAsiaTheme="minorEastAsia" w:cstheme="minorEastAsia"/>
          <w:color w:val="auto"/>
          <w:kern w:val="2"/>
          <w:sz w:val="32"/>
          <w:szCs w:val="32"/>
          <w:shd w:val="clear" w:color="auto" w:fill="auto"/>
          <w:lang w:val="en-US" w:eastAsia="zh-CN" w:bidi="ar"/>
        </w:rPr>
        <w:t>24.1%(178509人次)</w:t>
      </w:r>
      <w:r>
        <w:rPr>
          <w:rFonts w:hint="eastAsia" w:asciiTheme="minorEastAsia" w:hAnsiTheme="minorEastAsia" w:eastAsiaTheme="minorEastAsia" w:cstheme="minorEastAsia"/>
          <w:i w:val="0"/>
          <w:iCs w:val="0"/>
          <w:color w:val="auto"/>
          <w:spacing w:val="-6"/>
          <w:kern w:val="2"/>
          <w:sz w:val="32"/>
          <w:szCs w:val="32"/>
          <w:u w:val="none"/>
          <w:shd w:val="clear" w:color="auto" w:fill="auto"/>
          <w:lang w:val="en-US" w:eastAsia="zh-CN" w:bidi="ar"/>
        </w:rPr>
        <w:t>。</w:t>
      </w:r>
    </w:p>
    <w:p>
      <w:pPr>
        <w:widowControl/>
        <w:numPr>
          <w:ilvl w:val="0"/>
          <w:numId w:val="4"/>
        </w:numPr>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结核病防治</w:t>
      </w:r>
    </w:p>
    <w:p>
      <w:pPr>
        <w:widowControl/>
        <w:numPr>
          <w:ilvl w:val="0"/>
          <w:numId w:val="0"/>
        </w:numPr>
        <w:spacing w:line="540" w:lineRule="exact"/>
        <w:ind w:firstLine="640" w:firstLineChars="200"/>
        <w:jc w:val="left"/>
        <w:rPr>
          <w:rFonts w:hint="eastAsia" w:ascii="原版宋体" w:hAnsi="原版宋体" w:eastAsia="仿宋_GB2312" w:cs="Times New Roman"/>
          <w:b w:val="0"/>
          <w:bCs w:val="0"/>
          <w:color w:val="auto"/>
          <w:sz w:val="32"/>
          <w:szCs w:val="32"/>
          <w:shd w:val="clear" w:color="auto" w:fill="auto"/>
          <w:lang w:val="en-US" w:eastAsia="zh-CN" w:bidi="ar"/>
        </w:rPr>
      </w:pPr>
      <w:r>
        <w:rPr>
          <w:rFonts w:hint="eastAsia" w:ascii="原版宋体" w:hAnsi="原版宋体" w:eastAsia="仿宋_GB2312" w:cs="Times New Roman"/>
          <w:color w:val="auto"/>
          <w:kern w:val="2"/>
          <w:sz w:val="32"/>
          <w:szCs w:val="32"/>
          <w:shd w:val="clear" w:color="auto" w:fill="auto"/>
          <w:lang w:bidi="ar"/>
        </w:rPr>
        <w:t>结核病规范管理率</w:t>
      </w:r>
      <w:r>
        <w:rPr>
          <w:rFonts w:hint="eastAsia" w:ascii="原版宋体" w:hAnsi="原版宋体" w:eastAsia="仿宋_GB2312" w:cs="Times New Roman"/>
          <w:color w:val="auto"/>
          <w:kern w:val="2"/>
          <w:sz w:val="32"/>
          <w:szCs w:val="32"/>
          <w:shd w:val="clear" w:color="auto" w:fill="auto"/>
          <w:lang w:val="en-US" w:eastAsia="zh-CN" w:bidi="ar"/>
        </w:rPr>
        <w:t>90%，</w:t>
      </w:r>
      <w:r>
        <w:rPr>
          <w:rFonts w:hint="eastAsia" w:ascii="原版宋体" w:hAnsi="原版宋体" w:cs="Times New Roman"/>
          <w:color w:val="auto"/>
          <w:kern w:val="2"/>
          <w:sz w:val="32"/>
          <w:szCs w:val="32"/>
          <w:shd w:val="clear" w:color="auto" w:fill="auto"/>
          <w:lang w:val="en-US" w:eastAsia="zh-CN" w:bidi="ar"/>
        </w:rPr>
        <w:t>实际完成</w:t>
      </w:r>
      <w:r>
        <w:rPr>
          <w:rFonts w:hint="eastAsia" w:ascii="原版宋体" w:hAnsi="原版宋体" w:eastAsia="仿宋_GB2312" w:cs="Times New Roman"/>
          <w:color w:val="auto"/>
          <w:kern w:val="2"/>
          <w:sz w:val="32"/>
          <w:szCs w:val="32"/>
          <w:shd w:val="clear" w:color="auto" w:fill="auto"/>
          <w:lang w:val="en-US" w:eastAsia="zh-CN" w:bidi="ar"/>
        </w:rPr>
        <w:t>100%</w:t>
      </w:r>
      <w:r>
        <w:rPr>
          <w:rFonts w:hint="eastAsia" w:ascii="原版宋体" w:hAnsi="原版宋体" w:cs="Times New Roman"/>
          <w:color w:val="auto"/>
          <w:kern w:val="2"/>
          <w:sz w:val="32"/>
          <w:szCs w:val="32"/>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bidi="ar"/>
        </w:rPr>
        <w:t>结核病规范服药率</w:t>
      </w:r>
      <w:r>
        <w:rPr>
          <w:rFonts w:hint="eastAsia" w:ascii="原版宋体" w:hAnsi="原版宋体" w:eastAsia="仿宋_GB2312" w:cs="Times New Roman"/>
          <w:color w:val="auto"/>
          <w:kern w:val="2"/>
          <w:sz w:val="32"/>
          <w:szCs w:val="32"/>
          <w:shd w:val="clear" w:color="auto" w:fill="auto"/>
          <w:lang w:val="en-US" w:eastAsia="zh-CN" w:bidi="ar"/>
        </w:rPr>
        <w:t>90%，</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shd w:val="clear" w:color="auto" w:fill="auto"/>
          <w:lang w:val="en-US" w:eastAsia="zh-CN" w:bidi="ar"/>
        </w:rPr>
        <w:t>94.1%</w:t>
      </w:r>
      <w:r>
        <w:rPr>
          <w:rFonts w:hint="eastAsia" w:ascii="原版宋体" w:hAnsi="原版宋体" w:cs="Times New Roman"/>
          <w:color w:val="auto"/>
          <w:kern w:val="2"/>
          <w:sz w:val="32"/>
          <w:szCs w:val="32"/>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病原学阳性肺结核患者密切接触者筛查率95%，</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shd w:val="clear" w:color="auto" w:fill="auto"/>
          <w:lang w:val="en-US" w:eastAsia="zh-CN" w:bidi="ar"/>
        </w:rPr>
        <w:t>100%</w:t>
      </w:r>
      <w:r>
        <w:rPr>
          <w:rFonts w:hint="eastAsia" w:ascii="原版宋体" w:hAnsi="原版宋体" w:cs="Times New Roman"/>
          <w:color w:val="auto"/>
          <w:kern w:val="2"/>
          <w:sz w:val="32"/>
          <w:szCs w:val="32"/>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肺结核患者病原学阳性率50%，</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u w:val="none"/>
          <w:shd w:val="clear" w:color="auto" w:fill="auto"/>
          <w:lang w:val="en-US" w:eastAsia="zh-CN" w:bidi="ar"/>
        </w:rPr>
        <w:t>56.5%，</w:t>
      </w:r>
      <w:r>
        <w:rPr>
          <w:rFonts w:hint="eastAsia" w:ascii="原版宋体" w:hAnsi="原版宋体" w:cs="Times New Roman"/>
          <w:color w:val="auto"/>
          <w:kern w:val="2"/>
          <w:sz w:val="32"/>
          <w:szCs w:val="32"/>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病原学阳性患者耐药筛查率90%，</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u w:val="none"/>
          <w:shd w:val="clear" w:color="auto" w:fill="auto"/>
          <w:lang w:val="en-US" w:eastAsia="zh-CN" w:bidi="ar"/>
        </w:rPr>
        <w:t>100%</w:t>
      </w:r>
      <w:r>
        <w:rPr>
          <w:rFonts w:hint="eastAsia" w:ascii="原版宋体" w:hAnsi="原版宋体" w:cs="Times New Roman"/>
          <w:color w:val="auto"/>
          <w:kern w:val="2"/>
          <w:sz w:val="32"/>
          <w:szCs w:val="32"/>
          <w:u w:val="none"/>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肺结核患者成功治疗率90%，</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u w:val="none"/>
          <w:shd w:val="clear" w:color="auto" w:fill="auto"/>
          <w:lang w:val="en-US" w:eastAsia="zh-CN" w:bidi="ar"/>
        </w:rPr>
        <w:t>97.9%</w:t>
      </w:r>
      <w:r>
        <w:rPr>
          <w:rFonts w:hint="eastAsia" w:ascii="原版宋体" w:hAnsi="原版宋体" w:cs="Times New Roman"/>
          <w:color w:val="auto"/>
          <w:kern w:val="2"/>
          <w:sz w:val="32"/>
          <w:szCs w:val="32"/>
          <w:u w:val="none"/>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入学新生肺结核筛查率90%，</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u w:val="none"/>
          <w:shd w:val="clear" w:color="auto" w:fill="auto"/>
          <w:lang w:val="en-US" w:eastAsia="zh-CN" w:bidi="ar"/>
        </w:rPr>
        <w:t>98.1%</w:t>
      </w:r>
      <w:r>
        <w:rPr>
          <w:rFonts w:hint="eastAsia" w:ascii="原版宋体" w:hAnsi="原版宋体" w:cs="Times New Roman"/>
          <w:color w:val="auto"/>
          <w:kern w:val="2"/>
          <w:sz w:val="32"/>
          <w:szCs w:val="32"/>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糖尿病患者肺结核筛查率90%，</w:t>
      </w:r>
      <w:r>
        <w:rPr>
          <w:rFonts w:hint="eastAsia" w:ascii="原版宋体" w:hAnsi="原版宋体" w:cs="Times New Roman"/>
          <w:color w:val="auto"/>
          <w:kern w:val="2"/>
          <w:sz w:val="32"/>
          <w:szCs w:val="32"/>
          <w:u w:val="none"/>
          <w:shd w:val="clear" w:color="auto" w:fill="auto"/>
          <w:lang w:val="en-US" w:eastAsia="zh-CN" w:bidi="ar"/>
        </w:rPr>
        <w:t>实际完成</w:t>
      </w:r>
      <w:r>
        <w:rPr>
          <w:rFonts w:hint="eastAsia" w:ascii="原版宋体" w:hAnsi="原版宋体" w:eastAsia="仿宋_GB2312" w:cs="Times New Roman"/>
          <w:color w:val="auto"/>
          <w:kern w:val="2"/>
          <w:sz w:val="32"/>
          <w:szCs w:val="32"/>
          <w:u w:val="none"/>
          <w:shd w:val="clear" w:color="auto" w:fill="auto"/>
          <w:lang w:val="en-US" w:eastAsia="zh-CN" w:bidi="ar"/>
        </w:rPr>
        <w:t>95.8%</w:t>
      </w:r>
      <w:r>
        <w:rPr>
          <w:rFonts w:hint="eastAsia" w:ascii="原版宋体" w:hAnsi="原版宋体" w:cs="Times New Roman"/>
          <w:color w:val="auto"/>
          <w:kern w:val="2"/>
          <w:sz w:val="32"/>
          <w:szCs w:val="32"/>
          <w:u w:val="none"/>
          <w:shd w:val="clear" w:color="auto" w:fill="auto"/>
          <w:lang w:val="en-US" w:eastAsia="zh-CN" w:bidi="ar"/>
        </w:rPr>
        <w:t>；</w:t>
      </w:r>
      <w:r>
        <w:rPr>
          <w:rFonts w:hint="eastAsia" w:ascii="原版宋体" w:hAnsi="原版宋体" w:eastAsia="仿宋_GB2312" w:cs="Times New Roman"/>
          <w:color w:val="auto"/>
          <w:kern w:val="2"/>
          <w:sz w:val="32"/>
          <w:szCs w:val="32"/>
          <w:shd w:val="clear" w:color="auto" w:fill="auto"/>
          <w:lang w:val="en-US" w:eastAsia="zh-CN" w:bidi="ar"/>
        </w:rPr>
        <w:t>65岁及以上老年人群肺结核筛查率90%</w:t>
      </w:r>
      <w:r>
        <w:rPr>
          <w:rFonts w:hint="eastAsia" w:ascii="原版宋体" w:hAnsi="原版宋体" w:cs="Times New Roman"/>
          <w:color w:val="auto"/>
          <w:kern w:val="2"/>
          <w:sz w:val="32"/>
          <w:szCs w:val="32"/>
          <w:shd w:val="clear" w:color="auto" w:fill="auto"/>
          <w:lang w:val="en-US" w:eastAsia="zh-CN" w:bidi="ar"/>
        </w:rPr>
        <w:t>，</w:t>
      </w:r>
      <w:r>
        <w:rPr>
          <w:rFonts w:hint="eastAsia" w:ascii="原版宋体" w:hAnsi="原版宋体" w:cs="Times New Roman"/>
          <w:color w:val="auto"/>
          <w:kern w:val="2"/>
          <w:sz w:val="32"/>
          <w:szCs w:val="32"/>
          <w:u w:val="none"/>
          <w:shd w:val="clear" w:color="auto" w:fill="auto"/>
          <w:lang w:val="en-US" w:eastAsia="zh-CN" w:bidi="ar"/>
        </w:rPr>
        <w:t>实际完成98%</w:t>
      </w:r>
      <w:r>
        <w:rPr>
          <w:rFonts w:hint="eastAsia" w:ascii="原版宋体" w:hAnsi="原版宋体" w:eastAsia="仿宋_GB2312" w:cs="Times New Roman"/>
          <w:color w:val="auto"/>
          <w:kern w:val="2"/>
          <w:sz w:val="32"/>
          <w:szCs w:val="32"/>
          <w:shd w:val="clear" w:color="auto" w:fill="auto"/>
          <w:lang w:val="en-US" w:eastAsia="zh-CN" w:bidi="ar"/>
        </w:rPr>
        <w:t>。</w:t>
      </w:r>
    </w:p>
    <w:p>
      <w:pPr>
        <w:widowControl/>
        <w:numPr>
          <w:ilvl w:val="0"/>
          <w:numId w:val="4"/>
        </w:numPr>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精神卫生和慢性非传染病疾病防治</w:t>
      </w:r>
    </w:p>
    <w:p>
      <w:pPr>
        <w:widowControl/>
        <w:numPr>
          <w:ilvl w:val="0"/>
          <w:numId w:val="0"/>
        </w:numPr>
        <w:spacing w:line="540" w:lineRule="exact"/>
        <w:ind w:firstLine="0"/>
        <w:jc w:val="left"/>
        <w:rPr>
          <w:rFonts w:hint="eastAsia" w:ascii="原版宋体" w:hAnsi="原版宋体" w:eastAsia="仿宋_GB2312" w:cs="Times New Roman"/>
          <w:b w:val="0"/>
          <w:bCs w:val="0"/>
          <w:color w:val="auto"/>
          <w:sz w:val="32"/>
          <w:szCs w:val="32"/>
          <w:lang w:val="en-US" w:eastAsia="zh-CN"/>
        </w:rPr>
      </w:pPr>
      <w:r>
        <w:rPr>
          <w:rFonts w:hint="eastAsia" w:ascii="原版宋体" w:hAnsi="原版宋体" w:eastAsia="仿宋_GB2312" w:cs="Times New Roman"/>
          <w:b w:val="0"/>
          <w:bCs w:val="0"/>
          <w:color w:val="auto"/>
          <w:sz w:val="32"/>
          <w:szCs w:val="32"/>
          <w:lang w:val="en-US" w:eastAsia="zh-CN"/>
        </w:rPr>
        <w:t xml:space="preserve">     </w:t>
      </w:r>
      <w:r>
        <w:rPr>
          <w:rFonts w:hint="eastAsia" w:ascii="原版宋体" w:hAnsi="原版宋体" w:eastAsia="仿宋_GB2312" w:cs="Times New Roman"/>
          <w:color w:val="auto"/>
          <w:sz w:val="32"/>
          <w:szCs w:val="32"/>
          <w:lang w:eastAsia="zh-CN"/>
        </w:rPr>
        <w:t>严重精神障碍患者检出率</w:t>
      </w:r>
      <w:r>
        <w:rPr>
          <w:rFonts w:hint="eastAsia" w:ascii="原版宋体" w:hAnsi="原版宋体" w:cs="Times New Roman"/>
          <w:color w:val="auto"/>
          <w:kern w:val="2"/>
          <w:sz w:val="32"/>
          <w:szCs w:val="32"/>
          <w:lang w:val="en-US" w:eastAsia="zh-CN"/>
        </w:rPr>
        <w:t>4.58‰，实际完成率</w:t>
      </w:r>
      <w:r>
        <w:rPr>
          <w:rFonts w:hint="eastAsia" w:ascii="原版宋体" w:hAnsi="原版宋体" w:eastAsia="仿宋_GB2312" w:cs="Times New Roman"/>
          <w:color w:val="auto"/>
          <w:kern w:val="2"/>
          <w:sz w:val="32"/>
          <w:szCs w:val="32"/>
          <w:lang w:val="en-US" w:eastAsia="zh-CN"/>
        </w:rPr>
        <w:t>5.98‰；</w:t>
      </w:r>
      <w:r>
        <w:rPr>
          <w:rFonts w:hint="eastAsia" w:ascii="原版宋体" w:hAnsi="原版宋体" w:eastAsia="仿宋_GB2312" w:cs="Times New Roman"/>
          <w:color w:val="auto"/>
          <w:sz w:val="32"/>
          <w:szCs w:val="32"/>
          <w:lang w:val="en-US" w:eastAsia="zh-CN"/>
        </w:rPr>
        <w:t>农村癫痫入组治疗患者数1‰，</w:t>
      </w:r>
      <w:r>
        <w:rPr>
          <w:rFonts w:hint="eastAsia" w:ascii="原版宋体" w:hAnsi="原版宋体" w:cs="Times New Roman"/>
          <w:color w:val="auto"/>
          <w:kern w:val="2"/>
          <w:sz w:val="32"/>
          <w:szCs w:val="32"/>
          <w:lang w:val="en-US" w:eastAsia="zh-CN"/>
        </w:rPr>
        <w:t>实际完成率</w:t>
      </w:r>
      <w:r>
        <w:rPr>
          <w:rFonts w:hint="eastAsia" w:ascii="原版宋体" w:hAnsi="原版宋体" w:eastAsia="仿宋_GB2312" w:cs="Times New Roman"/>
          <w:color w:val="auto"/>
          <w:sz w:val="32"/>
          <w:szCs w:val="32"/>
        </w:rPr>
        <w:t>1.34</w:t>
      </w:r>
      <w:r>
        <w:rPr>
          <w:rFonts w:hint="eastAsia" w:ascii="原版宋体" w:hAnsi="原版宋体" w:eastAsia="仿宋_GB2312" w:cs="Times New Roman"/>
          <w:color w:val="auto"/>
          <w:kern w:val="2"/>
          <w:sz w:val="32"/>
          <w:szCs w:val="32"/>
          <w:lang w:val="en-US" w:eastAsia="zh-CN"/>
        </w:rPr>
        <w:t>‰；</w:t>
      </w:r>
      <w:r>
        <w:rPr>
          <w:rFonts w:hint="eastAsia" w:ascii="原版宋体" w:hAnsi="原版宋体" w:eastAsia="仿宋_GB2312" w:cs="Times New Roman"/>
          <w:color w:val="auto"/>
          <w:sz w:val="32"/>
          <w:szCs w:val="32"/>
          <w:lang w:eastAsia="zh-CN"/>
        </w:rPr>
        <w:t>死因监测粗死亡率</w:t>
      </w:r>
      <w:r>
        <w:rPr>
          <w:rFonts w:hint="eastAsia" w:ascii="原版宋体" w:hAnsi="原版宋体" w:cs="Times New Roman"/>
          <w:color w:val="auto"/>
          <w:kern w:val="2"/>
          <w:sz w:val="32"/>
          <w:szCs w:val="32"/>
          <w:lang w:val="en-US" w:eastAsia="zh-CN"/>
        </w:rPr>
        <w:t>6‰，实际完成率</w:t>
      </w:r>
      <w:r>
        <w:rPr>
          <w:rFonts w:hint="eastAsia" w:ascii="原版宋体" w:hAnsi="原版宋体" w:eastAsia="仿宋_GB2312" w:cs="Times New Roman"/>
          <w:color w:val="auto"/>
          <w:kern w:val="2"/>
          <w:sz w:val="32"/>
          <w:szCs w:val="32"/>
        </w:rPr>
        <w:t>8.35‰</w:t>
      </w:r>
      <w:r>
        <w:rPr>
          <w:rFonts w:hint="eastAsia" w:ascii="原版宋体" w:hAnsi="原版宋体" w:eastAsia="仿宋_GB2312" w:cs="Times New Roman"/>
          <w:color w:val="auto"/>
          <w:kern w:val="2"/>
          <w:sz w:val="32"/>
          <w:szCs w:val="32"/>
          <w:lang w:eastAsia="zh-CN"/>
        </w:rPr>
        <w:t>，全年各项任务超额完成。</w:t>
      </w:r>
    </w:p>
    <w:p>
      <w:pPr>
        <w:widowControl/>
        <w:numPr>
          <w:ilvl w:val="0"/>
          <w:numId w:val="4"/>
        </w:numPr>
        <w:spacing w:line="540" w:lineRule="exact"/>
        <w:ind w:firstLine="640"/>
        <w:jc w:val="left"/>
        <w:rPr>
          <w:rFonts w:hint="eastAsia" w:ascii="原版宋体" w:hAnsi="原版宋体" w:eastAsia="楷体" w:cs="楷体"/>
          <w:b w:val="0"/>
          <w:bCs w:val="0"/>
          <w:color w:val="auto"/>
          <w:sz w:val="32"/>
          <w:szCs w:val="32"/>
          <w:lang w:val="en-US" w:eastAsia="zh-CN"/>
        </w:rPr>
      </w:pPr>
      <w:r>
        <w:rPr>
          <w:rFonts w:hint="eastAsia" w:ascii="原版宋体" w:hAnsi="原版宋体" w:eastAsia="楷体" w:cs="楷体"/>
          <w:b w:val="0"/>
          <w:bCs w:val="0"/>
          <w:color w:val="auto"/>
          <w:sz w:val="32"/>
          <w:szCs w:val="32"/>
          <w:lang w:val="en-US" w:eastAsia="zh-CN"/>
        </w:rPr>
        <w:t xml:space="preserve">重大传染病及健康危害因素监测  </w:t>
      </w:r>
    </w:p>
    <w:p>
      <w:pPr>
        <w:widowControl/>
        <w:numPr>
          <w:ilvl w:val="0"/>
          <w:numId w:val="0"/>
        </w:numPr>
        <w:spacing w:line="540" w:lineRule="exact"/>
        <w:ind w:firstLine="640" w:firstLineChars="200"/>
        <w:jc w:val="left"/>
        <w:rPr>
          <w:rFonts w:hint="eastAsia" w:ascii="原版宋体" w:hAnsi="原版宋体" w:eastAsia="仿宋_GB2312" w:cs="Times New Roman"/>
          <w:color w:val="auto"/>
          <w:kern w:val="2"/>
          <w:sz w:val="32"/>
          <w:szCs w:val="32"/>
          <w:lang w:val="en-US" w:eastAsia="zh-CN"/>
        </w:rPr>
      </w:pPr>
      <w:r>
        <w:rPr>
          <w:rFonts w:hint="eastAsia" w:ascii="原版宋体" w:hAnsi="原版宋体" w:eastAsia="仿宋_GB2312" w:cs="Times New Roman"/>
          <w:b w:val="0"/>
          <w:bCs w:val="0"/>
          <w:color w:val="auto"/>
          <w:sz w:val="32"/>
          <w:szCs w:val="32"/>
          <w:lang w:val="en-US" w:eastAsia="zh-CN"/>
        </w:rPr>
        <w:t>学生常见病筛查</w:t>
      </w:r>
      <w:r>
        <w:rPr>
          <w:rFonts w:hint="eastAsia" w:ascii="原版宋体" w:hAnsi="原版宋体" w:eastAsia="仿宋_GB2312" w:cs="Times New Roman"/>
          <w:color w:val="auto"/>
          <w:kern w:val="2"/>
          <w:sz w:val="32"/>
          <w:szCs w:val="32"/>
        </w:rPr>
        <w:t>现场筛查至少1840人，问卷调查至少1680人，</w:t>
      </w:r>
      <w:r>
        <w:rPr>
          <w:rFonts w:hint="eastAsia" w:ascii="原版宋体" w:hAnsi="原版宋体" w:eastAsia="仿宋_GB2312" w:cs="Times New Roman"/>
          <w:color w:val="auto"/>
          <w:kern w:val="2"/>
          <w:sz w:val="32"/>
          <w:szCs w:val="32"/>
          <w:lang w:eastAsia="zh-CN"/>
        </w:rPr>
        <w:t>现场质量控制，复核不少于</w:t>
      </w:r>
      <w:r>
        <w:rPr>
          <w:rFonts w:hint="eastAsia" w:ascii="原版宋体" w:hAnsi="原版宋体" w:eastAsia="仿宋_GB2312" w:cs="Times New Roman"/>
          <w:color w:val="auto"/>
          <w:kern w:val="2"/>
          <w:sz w:val="32"/>
          <w:szCs w:val="32"/>
          <w:lang w:val="en-US" w:eastAsia="zh-CN"/>
        </w:rPr>
        <w:t>5%</w:t>
      </w:r>
      <w:r>
        <w:rPr>
          <w:rFonts w:hint="eastAsia" w:ascii="原版宋体" w:hAnsi="原版宋体" w:cs="Times New Roman"/>
          <w:color w:val="auto"/>
          <w:kern w:val="2"/>
          <w:sz w:val="32"/>
          <w:szCs w:val="32"/>
          <w:lang w:val="en-US" w:eastAsia="zh-CN"/>
        </w:rPr>
        <w:t>。</w:t>
      </w:r>
      <w:r>
        <w:rPr>
          <w:rFonts w:hint="eastAsia" w:ascii="原版宋体" w:hAnsi="原版宋体" w:cs="Times New Roman"/>
          <w:color w:val="auto"/>
          <w:kern w:val="2"/>
          <w:sz w:val="32"/>
          <w:szCs w:val="32"/>
          <w:lang w:eastAsia="zh-CN"/>
        </w:rPr>
        <w:t>实际</w:t>
      </w:r>
      <w:r>
        <w:rPr>
          <w:rFonts w:hint="eastAsia" w:ascii="原版宋体" w:hAnsi="原版宋体" w:eastAsia="仿宋_GB2312" w:cs="Times New Roman"/>
          <w:color w:val="auto"/>
          <w:kern w:val="2"/>
          <w:sz w:val="32"/>
          <w:szCs w:val="32"/>
        </w:rPr>
        <w:t>现场筛查</w:t>
      </w:r>
      <w:r>
        <w:rPr>
          <w:rFonts w:hint="eastAsia" w:ascii="原版宋体" w:hAnsi="原版宋体" w:cs="Times New Roman"/>
          <w:color w:val="auto"/>
          <w:kern w:val="2"/>
          <w:sz w:val="32"/>
          <w:szCs w:val="32"/>
          <w:lang w:val="en-US" w:eastAsia="zh-CN"/>
        </w:rPr>
        <w:t>2271人，</w:t>
      </w:r>
      <w:r>
        <w:rPr>
          <w:rFonts w:hint="eastAsia" w:ascii="原版宋体" w:hAnsi="原版宋体" w:eastAsia="仿宋_GB2312" w:cs="Times New Roman"/>
          <w:color w:val="auto"/>
          <w:kern w:val="2"/>
          <w:sz w:val="32"/>
          <w:szCs w:val="32"/>
        </w:rPr>
        <w:t>问卷调查</w:t>
      </w:r>
      <w:r>
        <w:rPr>
          <w:rFonts w:hint="eastAsia" w:ascii="原版宋体" w:hAnsi="原版宋体" w:cs="Times New Roman"/>
          <w:color w:val="auto"/>
          <w:kern w:val="2"/>
          <w:sz w:val="32"/>
          <w:szCs w:val="32"/>
          <w:lang w:val="en-US" w:eastAsia="zh-CN"/>
        </w:rPr>
        <w:t>2099</w:t>
      </w:r>
      <w:r>
        <w:rPr>
          <w:rFonts w:hint="eastAsia" w:ascii="原版宋体" w:hAnsi="原版宋体" w:eastAsia="仿宋_GB2312" w:cs="Times New Roman"/>
          <w:color w:val="auto"/>
          <w:kern w:val="2"/>
          <w:sz w:val="32"/>
          <w:szCs w:val="32"/>
        </w:rPr>
        <w:t>人，</w:t>
      </w:r>
      <w:r>
        <w:rPr>
          <w:rFonts w:hint="eastAsia" w:ascii="原版宋体" w:hAnsi="原版宋体" w:eastAsia="仿宋_GB2312" w:cs="Times New Roman"/>
          <w:color w:val="auto"/>
          <w:kern w:val="2"/>
          <w:sz w:val="32"/>
          <w:szCs w:val="32"/>
          <w:lang w:eastAsia="zh-CN"/>
        </w:rPr>
        <w:t>现场质量控制，复核</w:t>
      </w:r>
      <w:r>
        <w:rPr>
          <w:rFonts w:hint="eastAsia" w:ascii="原版宋体" w:hAnsi="原版宋体" w:cs="Times New Roman"/>
          <w:color w:val="auto"/>
          <w:kern w:val="2"/>
          <w:sz w:val="32"/>
          <w:szCs w:val="32"/>
          <w:lang w:eastAsia="zh-CN"/>
        </w:rPr>
        <w:t>率</w:t>
      </w:r>
      <w:r>
        <w:rPr>
          <w:rFonts w:hint="eastAsia" w:ascii="原版宋体" w:hAnsi="原版宋体" w:eastAsia="仿宋_GB2312" w:cs="Times New Roman"/>
          <w:color w:val="auto"/>
          <w:kern w:val="2"/>
          <w:sz w:val="32"/>
          <w:szCs w:val="32"/>
          <w:lang w:val="en-US" w:eastAsia="zh-CN"/>
        </w:rPr>
        <w:t>5%。</w:t>
      </w:r>
    </w:p>
    <w:p>
      <w:pPr>
        <w:widowControl/>
        <w:numPr>
          <w:ilvl w:val="0"/>
          <w:numId w:val="0"/>
        </w:numPr>
        <w:spacing w:line="540" w:lineRule="exact"/>
        <w:ind w:firstLine="640" w:firstLineChars="200"/>
        <w:jc w:val="left"/>
        <w:rPr>
          <w:rFonts w:hint="eastAsia" w:ascii="原版宋体" w:hAnsi="原版宋体" w:eastAsia="仿宋_GB2312" w:cs="Times New Roman"/>
          <w:color w:val="auto"/>
          <w:kern w:val="2"/>
          <w:sz w:val="32"/>
          <w:szCs w:val="32"/>
          <w:lang w:val="en-US" w:eastAsia="zh-CN"/>
        </w:rPr>
      </w:pPr>
      <w:r>
        <w:rPr>
          <w:rFonts w:hint="eastAsia" w:ascii="原版宋体" w:hAnsi="原版宋体" w:eastAsia="仿宋_GB2312" w:cs="Times New Roman"/>
          <w:color w:val="auto"/>
          <w:kern w:val="2"/>
          <w:sz w:val="32"/>
          <w:szCs w:val="32"/>
          <w:lang w:eastAsia="zh-CN"/>
        </w:rPr>
        <w:t>手足口病全年监测采样</w:t>
      </w:r>
      <w:r>
        <w:rPr>
          <w:rFonts w:hint="eastAsia" w:ascii="原版宋体" w:hAnsi="原版宋体" w:eastAsia="仿宋_GB2312" w:cs="Times New Roman"/>
          <w:color w:val="auto"/>
          <w:kern w:val="2"/>
          <w:sz w:val="32"/>
          <w:szCs w:val="32"/>
          <w:lang w:val="en-US" w:eastAsia="zh-CN"/>
        </w:rPr>
        <w:t>26份</w:t>
      </w:r>
      <w:r>
        <w:rPr>
          <w:rFonts w:hint="eastAsia" w:ascii="原版宋体" w:hAnsi="原版宋体" w:cs="Times New Roman"/>
          <w:color w:val="auto"/>
          <w:kern w:val="2"/>
          <w:sz w:val="32"/>
          <w:szCs w:val="32"/>
          <w:lang w:val="en-US" w:eastAsia="zh-CN"/>
        </w:rPr>
        <w:t>；</w:t>
      </w:r>
      <w:r>
        <w:rPr>
          <w:rFonts w:hint="eastAsia" w:ascii="原版宋体" w:hAnsi="原版宋体" w:eastAsia="仿宋_GB2312" w:cs="Times New Roman"/>
          <w:color w:val="auto"/>
          <w:kern w:val="2"/>
          <w:sz w:val="32"/>
          <w:szCs w:val="32"/>
        </w:rPr>
        <w:t>狂犬病动物咬伤暴露病例监测</w:t>
      </w:r>
      <w:r>
        <w:rPr>
          <w:rFonts w:hint="eastAsia" w:ascii="原版宋体" w:hAnsi="原版宋体" w:eastAsia="仿宋_GB2312" w:cs="Times New Roman"/>
          <w:color w:val="auto"/>
          <w:kern w:val="2"/>
          <w:sz w:val="32"/>
          <w:szCs w:val="32"/>
          <w:lang w:val="en-US" w:eastAsia="zh-CN"/>
        </w:rPr>
        <w:t>3207</w:t>
      </w:r>
      <w:r>
        <w:rPr>
          <w:rFonts w:hint="eastAsia" w:ascii="原版宋体" w:hAnsi="原版宋体" w:eastAsia="仿宋_GB2312" w:cs="Times New Roman"/>
          <w:color w:val="auto"/>
          <w:kern w:val="2"/>
          <w:sz w:val="32"/>
          <w:szCs w:val="32"/>
        </w:rPr>
        <w:t>例</w:t>
      </w:r>
      <w:r>
        <w:rPr>
          <w:rFonts w:hint="eastAsia" w:ascii="原版宋体" w:hAnsi="原版宋体" w:cs="Times New Roman"/>
          <w:color w:val="auto"/>
          <w:kern w:val="2"/>
          <w:sz w:val="32"/>
          <w:szCs w:val="32"/>
          <w:lang w:eastAsia="zh-CN"/>
        </w:rPr>
        <w:t>；</w:t>
      </w:r>
      <w:r>
        <w:rPr>
          <w:rFonts w:hint="eastAsia" w:ascii="原版宋体" w:hAnsi="原版宋体" w:eastAsia="仿宋_GB2312" w:cs="Times New Roman"/>
          <w:color w:val="auto"/>
          <w:kern w:val="2"/>
          <w:sz w:val="32"/>
          <w:szCs w:val="32"/>
        </w:rPr>
        <w:t>霍乱</w:t>
      </w:r>
      <w:r>
        <w:rPr>
          <w:rFonts w:hint="eastAsia" w:ascii="原版宋体" w:hAnsi="原版宋体" w:eastAsia="仿宋_GB2312" w:cs="Times New Roman"/>
          <w:color w:val="auto"/>
          <w:kern w:val="2"/>
          <w:sz w:val="32"/>
          <w:szCs w:val="32"/>
          <w:lang w:eastAsia="zh-CN"/>
        </w:rPr>
        <w:t>采集内、外环境样本</w:t>
      </w:r>
      <w:r>
        <w:rPr>
          <w:rFonts w:hint="eastAsia" w:ascii="原版宋体" w:hAnsi="原版宋体" w:eastAsia="仿宋_GB2312" w:cs="Times New Roman"/>
          <w:color w:val="auto"/>
          <w:kern w:val="2"/>
          <w:sz w:val="32"/>
          <w:szCs w:val="32"/>
          <w:lang w:val="en-US" w:eastAsia="zh-CN"/>
        </w:rPr>
        <w:t>226</w:t>
      </w:r>
      <w:r>
        <w:rPr>
          <w:rFonts w:hint="eastAsia" w:ascii="原版宋体" w:hAnsi="原版宋体" w:eastAsia="仿宋_GB2312" w:cs="Times New Roman"/>
          <w:color w:val="auto"/>
          <w:kern w:val="2"/>
          <w:sz w:val="32"/>
          <w:szCs w:val="32"/>
        </w:rPr>
        <w:t>份</w:t>
      </w:r>
      <w:r>
        <w:rPr>
          <w:rFonts w:hint="eastAsia" w:ascii="原版宋体" w:hAnsi="原版宋体" w:cs="Times New Roman"/>
          <w:color w:val="auto"/>
          <w:kern w:val="2"/>
          <w:sz w:val="32"/>
          <w:szCs w:val="32"/>
          <w:lang w:eastAsia="zh-CN"/>
        </w:rPr>
        <w:t>；</w:t>
      </w:r>
      <w:r>
        <w:rPr>
          <w:rFonts w:hint="eastAsia" w:ascii="原版宋体" w:hAnsi="原版宋体" w:eastAsia="仿宋_GB2312" w:cs="Times New Roman"/>
          <w:color w:val="auto"/>
          <w:kern w:val="2"/>
          <w:sz w:val="32"/>
          <w:szCs w:val="32"/>
          <w:lang w:val="en-US" w:eastAsia="zh-CN"/>
        </w:rPr>
        <w:t>麻风病疑似症状监测48例，麻风病核心接触者健康检查10人，全年共随访4次，</w:t>
      </w:r>
      <w:r>
        <w:rPr>
          <w:rFonts w:hint="eastAsia" w:ascii="原版宋体" w:hAnsi="原版宋体" w:eastAsia="仿宋_GB2312" w:cs="Times New Roman"/>
          <w:color w:val="auto"/>
          <w:spacing w:val="-6"/>
          <w:kern w:val="2"/>
          <w:sz w:val="32"/>
          <w:szCs w:val="32"/>
          <w:lang w:val="en-US" w:eastAsia="zh-CN"/>
        </w:rPr>
        <w:t>麻风病</w:t>
      </w:r>
      <w:r>
        <w:rPr>
          <w:rFonts w:hint="eastAsia" w:ascii="原版宋体" w:hAnsi="原版宋体" w:eastAsia="仿宋_GB2312" w:cs="Times New Roman"/>
          <w:color w:val="auto"/>
          <w:kern w:val="2"/>
          <w:sz w:val="32"/>
          <w:szCs w:val="32"/>
          <w:lang w:val="en-US" w:eastAsia="zh-CN"/>
        </w:rPr>
        <w:t>愈后存活调查3人，</w:t>
      </w:r>
      <w:r>
        <w:rPr>
          <w:rFonts w:hint="eastAsia" w:ascii="原版宋体" w:hAnsi="原版宋体" w:eastAsia="仿宋_GB2312" w:cs="Times New Roman"/>
          <w:color w:val="auto"/>
          <w:spacing w:val="-6"/>
          <w:kern w:val="2"/>
          <w:sz w:val="32"/>
          <w:szCs w:val="32"/>
          <w:lang w:val="en-US" w:eastAsia="zh-CN"/>
        </w:rPr>
        <w:t>皮肤查菌1人，</w:t>
      </w:r>
      <w:r>
        <w:rPr>
          <w:rFonts w:hint="eastAsia" w:ascii="原版宋体" w:hAnsi="原版宋体" w:eastAsia="仿宋_GB2312" w:cs="Times New Roman"/>
          <w:color w:val="auto"/>
          <w:kern w:val="2"/>
          <w:sz w:val="32"/>
          <w:szCs w:val="32"/>
          <w:lang w:val="en-US" w:eastAsia="zh-CN"/>
        </w:rPr>
        <w:t>开展麻风病疫点调查，无新发病例</w:t>
      </w:r>
      <w:r>
        <w:rPr>
          <w:rFonts w:hint="eastAsia" w:ascii="原版宋体" w:hAnsi="原版宋体" w:cs="Times New Roman"/>
          <w:color w:val="auto"/>
          <w:kern w:val="2"/>
          <w:sz w:val="32"/>
          <w:szCs w:val="32"/>
          <w:lang w:val="en-US" w:eastAsia="zh-CN"/>
        </w:rPr>
        <w:t>；</w:t>
      </w:r>
      <w:r>
        <w:rPr>
          <w:rFonts w:hint="eastAsia" w:ascii="原版宋体" w:hAnsi="原版宋体" w:eastAsia="仿宋_GB2312" w:cs="Times New Roman"/>
          <w:color w:val="auto"/>
          <w:kern w:val="2"/>
          <w:sz w:val="32"/>
          <w:szCs w:val="32"/>
        </w:rPr>
        <w:t>疟疾</w:t>
      </w:r>
      <w:r>
        <w:rPr>
          <w:rFonts w:hint="eastAsia" w:ascii="原版宋体" w:hAnsi="原版宋体" w:eastAsia="仿宋_GB2312" w:cs="Times New Roman"/>
          <w:color w:val="auto"/>
          <w:kern w:val="2"/>
          <w:sz w:val="32"/>
          <w:szCs w:val="32"/>
          <w:lang w:eastAsia="zh-CN"/>
        </w:rPr>
        <w:t>全年完成了</w:t>
      </w:r>
      <w:r>
        <w:rPr>
          <w:rFonts w:hint="eastAsia" w:ascii="原版宋体" w:hAnsi="原版宋体" w:eastAsia="仿宋_GB2312" w:cs="Times New Roman"/>
          <w:color w:val="auto"/>
          <w:kern w:val="2"/>
          <w:sz w:val="32"/>
          <w:szCs w:val="32"/>
          <w:lang w:val="en-US" w:eastAsia="zh-CN"/>
        </w:rPr>
        <w:t>发热病人疟原虫血检任务数277张。</w:t>
      </w:r>
    </w:p>
    <w:p>
      <w:pPr>
        <w:widowControl/>
        <w:numPr>
          <w:ilvl w:val="0"/>
          <w:numId w:val="0"/>
        </w:numPr>
        <w:spacing w:line="540" w:lineRule="exact"/>
        <w:ind w:firstLine="640" w:firstLineChars="200"/>
        <w:jc w:val="left"/>
        <w:rPr>
          <w:rFonts w:hint="default" w:ascii="原版宋体" w:hAnsi="原版宋体" w:eastAsia="仿宋_GB2312" w:cs="Times New Roman"/>
          <w:b w:val="0"/>
          <w:bCs w:val="0"/>
          <w:color w:val="auto"/>
          <w:sz w:val="32"/>
          <w:szCs w:val="32"/>
          <w:lang w:val="en-US" w:eastAsia="zh-CN"/>
        </w:rPr>
      </w:pPr>
      <w:r>
        <w:rPr>
          <w:rFonts w:hint="eastAsia" w:ascii="原版宋体" w:hAnsi="原版宋体" w:eastAsia="仿宋_GB2312" w:cs="Times New Roman"/>
          <w:color w:val="auto"/>
          <w:kern w:val="2"/>
          <w:sz w:val="32"/>
          <w:szCs w:val="32"/>
          <w:lang w:eastAsia="zh-CN"/>
        </w:rPr>
        <w:t>城乡</w:t>
      </w:r>
      <w:r>
        <w:rPr>
          <w:rFonts w:hint="eastAsia" w:ascii="原版宋体" w:hAnsi="原版宋体" w:eastAsia="仿宋_GB2312" w:cs="Times New Roman"/>
          <w:color w:val="auto"/>
          <w:kern w:val="2"/>
          <w:sz w:val="32"/>
          <w:szCs w:val="32"/>
        </w:rPr>
        <w:t>生活饮用水</w:t>
      </w:r>
      <w:r>
        <w:rPr>
          <w:rFonts w:hint="eastAsia" w:ascii="原版宋体" w:hAnsi="原版宋体" w:eastAsia="仿宋_GB2312" w:cs="Times New Roman"/>
          <w:color w:val="auto"/>
          <w:kern w:val="2"/>
          <w:sz w:val="32"/>
          <w:szCs w:val="32"/>
          <w:lang w:eastAsia="zh-CN"/>
        </w:rPr>
        <w:t>采样数</w:t>
      </w:r>
      <w:r>
        <w:rPr>
          <w:rFonts w:hint="eastAsia" w:ascii="原版宋体" w:hAnsi="原版宋体" w:eastAsia="仿宋_GB2312" w:cs="Times New Roman"/>
          <w:color w:val="auto"/>
          <w:kern w:val="2"/>
          <w:sz w:val="32"/>
          <w:szCs w:val="32"/>
          <w:lang w:val="en-US" w:eastAsia="zh-CN"/>
        </w:rPr>
        <w:t>220个，</w:t>
      </w:r>
      <w:r>
        <w:rPr>
          <w:rFonts w:hint="eastAsia" w:ascii="原版宋体" w:hAnsi="原版宋体" w:eastAsia="仿宋_GB2312" w:cs="Times New Roman"/>
          <w:color w:val="auto"/>
          <w:kern w:val="2"/>
          <w:sz w:val="32"/>
          <w:szCs w:val="32"/>
        </w:rPr>
        <w:t>农村环境人户调查</w:t>
      </w:r>
      <w:r>
        <w:rPr>
          <w:rFonts w:hint="eastAsia" w:ascii="原版宋体" w:hAnsi="原版宋体" w:eastAsia="仿宋_GB2312" w:cs="Times New Roman"/>
          <w:color w:val="auto"/>
          <w:kern w:val="2"/>
          <w:sz w:val="32"/>
          <w:szCs w:val="32"/>
          <w:lang w:eastAsia="zh-CN"/>
        </w:rPr>
        <w:t>采样数</w:t>
      </w:r>
      <w:r>
        <w:rPr>
          <w:rFonts w:hint="eastAsia" w:ascii="原版宋体" w:hAnsi="原版宋体" w:eastAsia="仿宋_GB2312" w:cs="Times New Roman"/>
          <w:color w:val="auto"/>
          <w:kern w:val="2"/>
          <w:sz w:val="32"/>
          <w:szCs w:val="32"/>
          <w:lang w:val="en-US" w:eastAsia="zh-CN"/>
        </w:rPr>
        <w:t>100个</w:t>
      </w:r>
      <w:r>
        <w:rPr>
          <w:rFonts w:hint="eastAsia" w:ascii="原版宋体" w:hAnsi="原版宋体" w:cs="Times New Roman"/>
          <w:color w:val="auto"/>
          <w:kern w:val="2"/>
          <w:sz w:val="32"/>
          <w:szCs w:val="32"/>
          <w:lang w:eastAsia="zh-CN"/>
        </w:rPr>
        <w:t>，覆盖了</w:t>
      </w:r>
      <w:r>
        <w:rPr>
          <w:rFonts w:hint="eastAsia" w:ascii="原版宋体" w:hAnsi="原版宋体" w:cs="Times New Roman"/>
          <w:color w:val="auto"/>
          <w:kern w:val="2"/>
          <w:sz w:val="32"/>
          <w:szCs w:val="32"/>
          <w:lang w:val="en-US" w:eastAsia="zh-CN"/>
        </w:rPr>
        <w:t>21个乡镇均采样完成。</w:t>
      </w:r>
    </w:p>
    <w:p>
      <w:pPr>
        <w:pStyle w:val="2"/>
        <w:rPr>
          <w:rFonts w:hint="eastAsia"/>
          <w:lang w:val="en-US" w:eastAsia="zh-CN"/>
        </w:rPr>
      </w:pPr>
    </w:p>
    <w:p>
      <w:pPr>
        <w:keepNext w:val="0"/>
        <w:keepLines w:val="0"/>
        <w:pageBreakBefore w:val="0"/>
        <w:numPr>
          <w:ilvl w:val="0"/>
          <w:numId w:val="5"/>
        </w:numPr>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主要经验及做法、存在的问题及原因分析</w:t>
      </w:r>
    </w:p>
    <w:p>
      <w:pPr>
        <w:widowControl/>
        <w:numPr>
          <w:ilvl w:val="0"/>
          <w:numId w:val="0"/>
        </w:numPr>
        <w:spacing w:line="540" w:lineRule="exact"/>
        <w:ind w:firstLine="640" w:firstLineChars="200"/>
        <w:jc w:val="left"/>
        <w:rPr>
          <w:rFonts w:hint="eastAsia" w:ascii="原版宋体" w:hAnsi="原版宋体" w:eastAsia="仿宋_GB2312" w:cs="Times New Roman"/>
          <w:color w:val="auto"/>
          <w:kern w:val="2"/>
          <w:sz w:val="32"/>
          <w:szCs w:val="32"/>
          <w:lang w:val="en-US" w:eastAsia="zh-CN"/>
        </w:rPr>
      </w:pPr>
      <w:r>
        <w:rPr>
          <w:rFonts w:hint="eastAsia" w:ascii="原版宋体" w:hAnsi="原版宋体" w:eastAsia="仿宋_GB2312" w:cs="Times New Roman"/>
          <w:color w:val="auto"/>
          <w:kern w:val="2"/>
          <w:sz w:val="32"/>
          <w:szCs w:val="32"/>
          <w:lang w:val="en-US" w:eastAsia="zh-CN"/>
        </w:rPr>
        <w:t>在以后工作中将努力抓好绩效目标管理。在申报专项资金时编制科学合理的项目绩效目标，做到绩效目标明确、细化、量化，从而有利于加强财政专项资金管理的落实和具体化。在项目实施过程中应高度重视绩效目标，加强领导，精心组织实施，做到目标明确、职责分明、责任到人，切实提高财政资金使用绩效。</w:t>
      </w:r>
    </w:p>
    <w:p>
      <w:pPr>
        <w:widowControl/>
        <w:numPr>
          <w:ilvl w:val="0"/>
          <w:numId w:val="0"/>
        </w:numPr>
        <w:spacing w:line="540" w:lineRule="exact"/>
        <w:ind w:firstLine="640" w:firstLineChars="200"/>
        <w:jc w:val="left"/>
        <w:rPr>
          <w:rFonts w:hint="eastAsia" w:ascii="原版宋体" w:hAnsi="原版宋体" w:eastAsia="仿宋_GB2312" w:cs="Times New Roman"/>
          <w:color w:val="auto"/>
          <w:kern w:val="2"/>
          <w:sz w:val="32"/>
          <w:szCs w:val="32"/>
          <w:lang w:val="en-US" w:eastAsia="zh-CN"/>
        </w:rPr>
      </w:pPr>
      <w:r>
        <w:rPr>
          <w:rFonts w:hint="eastAsia" w:ascii="原版宋体" w:hAnsi="原版宋体" w:eastAsia="仿宋_GB2312" w:cs="Times New Roman"/>
          <w:color w:val="auto"/>
          <w:kern w:val="2"/>
          <w:sz w:val="32"/>
          <w:szCs w:val="32"/>
          <w:lang w:val="en-US" w:eastAsia="zh-CN"/>
        </w:rPr>
        <w:t>今后我中心将更加细致地制定绩效目标，进一步严肃财经纪律，让项目资金按计划落实到实处。</w:t>
      </w:r>
    </w:p>
    <w:p>
      <w:pPr>
        <w:keepNext w:val="0"/>
        <w:keepLines w:val="0"/>
        <w:pageBreakBefore w:val="0"/>
        <w:widowControl/>
        <w:numPr>
          <w:ilvl w:val="0"/>
          <w:numId w:val="5"/>
        </w:numPr>
        <w:kinsoku/>
        <w:wordWrap/>
        <w:overflowPunct/>
        <w:topLinePunct w:val="0"/>
        <w:autoSpaceDE/>
        <w:autoSpaceDN/>
        <w:bidi w:val="0"/>
        <w:adjustRightInd/>
        <w:snapToGrid/>
        <w:spacing w:line="610" w:lineRule="exact"/>
        <w:ind w:left="0" w:leftChars="0" w:firstLine="640" w:firstLineChars="200"/>
        <w:jc w:val="both"/>
        <w:textAlignment w:val="auto"/>
        <w:rPr>
          <w:rFonts w:hint="eastAsia" w:ascii="黑体" w:hAnsi="黑体" w:eastAsia="黑体" w:cs="黑体"/>
          <w:sz w:val="30"/>
          <w:szCs w:val="30"/>
          <w:lang w:val="en-US" w:eastAsia="zh-CN"/>
        </w:rPr>
      </w:pPr>
      <w:r>
        <w:rPr>
          <w:rFonts w:hint="eastAsia" w:ascii="黑体" w:hAnsi="黑体" w:eastAsia="黑体" w:cs="黑体"/>
          <w:sz w:val="32"/>
          <w:szCs w:val="32"/>
        </w:rPr>
        <w:t>其他需要说明的问题</w:t>
      </w:r>
    </w:p>
    <w:p>
      <w:pPr>
        <w:pStyle w:val="2"/>
        <w:rPr>
          <w:rFonts w:hint="default" w:eastAsia="黑体"/>
          <w:lang w:val="en-US" w:eastAsia="zh-CN"/>
        </w:rPr>
      </w:pPr>
      <w:r>
        <w:rPr>
          <w:rFonts w:hint="eastAsia" w:ascii="黑体" w:hAnsi="黑体" w:eastAsia="黑体" w:cs="黑体"/>
          <w:sz w:val="32"/>
          <w:szCs w:val="32"/>
          <w:lang w:val="en-US" w:eastAsia="zh-CN"/>
        </w:rPr>
        <w:t xml:space="preserve">  </w:t>
      </w:r>
      <w:r>
        <w:rPr>
          <w:rFonts w:hint="eastAsia" w:ascii="原版宋体" w:hAnsi="原版宋体" w:eastAsia="仿宋_GB2312" w:cs="Times New Roman"/>
          <w:color w:val="auto"/>
          <w:kern w:val="2"/>
          <w:sz w:val="32"/>
          <w:szCs w:val="32"/>
          <w:lang w:val="en-US" w:eastAsia="zh-CN" w:bidi="ar-SA"/>
        </w:rPr>
        <w:t>无</w:t>
      </w:r>
    </w:p>
    <w:sectPr>
      <w:footerReference r:id="rId3"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2BF42F6-14CE-43DE-856E-ACA869ACCD68}"/>
  </w:font>
  <w:font w:name="Arial">
    <w:panose1 w:val="020B0604020202020204"/>
    <w:charset w:val="01"/>
    <w:family w:val="swiss"/>
    <w:pitch w:val="default"/>
    <w:sig w:usb0="E0002AFF" w:usb1="C0007843" w:usb2="00000009" w:usb3="00000000" w:csb0="400001FF" w:csb1="FFFF0000"/>
    <w:embedRegular r:id="rId2" w:fontKey="{AA106BA9-5937-40FA-B32F-1A3834F915B8}"/>
  </w:font>
  <w:font w:name="黑体">
    <w:panose1 w:val="02010609060101010101"/>
    <w:charset w:val="86"/>
    <w:family w:val="auto"/>
    <w:pitch w:val="default"/>
    <w:sig w:usb0="800002BF" w:usb1="38CF7CFA" w:usb2="00000016" w:usb3="00000000" w:csb0="00040001" w:csb1="00000000"/>
    <w:embedRegular r:id="rId3" w:fontKey="{48F4630A-0E22-4779-B0C8-2030AE2F90A0}"/>
  </w:font>
  <w:font w:name="Courier New">
    <w:panose1 w:val="02070309020205020404"/>
    <w:charset w:val="01"/>
    <w:family w:val="modern"/>
    <w:pitch w:val="default"/>
    <w:sig w:usb0="E0002AFF" w:usb1="C0007843" w:usb2="00000009" w:usb3="00000000" w:csb0="400001FF" w:csb1="FFFF0000"/>
    <w:embedRegular r:id="rId4" w:fontKey="{B77DD777-524E-43F7-97F6-C836A20536E1}"/>
  </w:font>
  <w:font w:name="Symbol">
    <w:panose1 w:val="05050102010706020507"/>
    <w:charset w:val="02"/>
    <w:family w:val="roman"/>
    <w:pitch w:val="default"/>
    <w:sig w:usb0="00000000" w:usb1="00000000" w:usb2="00000000" w:usb3="00000000" w:csb0="80000000" w:csb1="00000000"/>
    <w:embedRegular r:id="rId5" w:fontKey="{DCC5AE43-DA00-4AC9-B94A-C8742A03342A}"/>
  </w:font>
  <w:font w:name="Calibri">
    <w:panose1 w:val="020F0502020204030204"/>
    <w:charset w:val="00"/>
    <w:family w:val="swiss"/>
    <w:pitch w:val="default"/>
    <w:sig w:usb0="E00002FF" w:usb1="4000ACFF" w:usb2="00000001" w:usb3="00000000" w:csb0="2000019F" w:csb1="00000000"/>
    <w:embedRegular r:id="rId6" w:fontKey="{32127424-28E0-49CB-9EC3-173398F238CF}"/>
  </w:font>
  <w:font w:name="仿宋">
    <w:panose1 w:val="02010609060101010101"/>
    <w:charset w:val="86"/>
    <w:family w:val="auto"/>
    <w:pitch w:val="default"/>
    <w:sig w:usb0="800002BF" w:usb1="38CF7CFA" w:usb2="00000016" w:usb3="00000000" w:csb0="00040001" w:csb1="00000000"/>
  </w:font>
  <w:font w:name="方正小标宋简体">
    <w:panose1 w:val="02000000000000000000"/>
    <w:charset w:val="86"/>
    <w:family w:val="auto"/>
    <w:pitch w:val="default"/>
    <w:sig w:usb0="00000001" w:usb1="08000000" w:usb2="00000000" w:usb3="00000000" w:csb0="00040000" w:csb1="00000000"/>
    <w:embedRegular r:id="rId7" w:fontKey="{C7F6D77A-47A0-4EBC-9ADD-C711397C8F39}"/>
  </w:font>
  <w:font w:name="方正小标宋_GBK">
    <w:altName w:val="方正小标宋_GBK"/>
    <w:panose1 w:val="03000509000000000000"/>
    <w:charset w:val="86"/>
    <w:family w:val="script"/>
    <w:pitch w:val="default"/>
    <w:sig w:usb0="00000001" w:usb1="080E0000" w:usb2="00000000" w:usb3="00000000" w:csb0="00040000" w:csb1="00000000"/>
    <w:embedRegular r:id="rId8" w:fontKey="{8A379A13-815F-4BA0-A7AF-95F461DBAE3D}"/>
  </w:font>
  <w:font w:name="仿宋_GB2312">
    <w:panose1 w:val="02010609030101010101"/>
    <w:charset w:val="86"/>
    <w:family w:val="auto"/>
    <w:pitch w:val="default"/>
    <w:sig w:usb0="00000001" w:usb1="080E0000" w:usb2="00000000" w:usb3="00000000" w:csb0="00040000" w:csb1="00000000"/>
    <w:embedRegular r:id="rId9" w:fontKey="{99CE4259-BC1A-4DF1-844D-DB07D2FA04BA}"/>
  </w:font>
  <w:font w:name="原版宋体">
    <w:altName w:val="宋体"/>
    <w:panose1 w:val="02010600030101010101"/>
    <w:charset w:val="00"/>
    <w:family w:val="auto"/>
    <w:pitch w:val="default"/>
    <w:sig w:usb0="00000000" w:usb1="00000000" w:usb2="00000000" w:usb3="00000000" w:csb0="00040001" w:csb1="00000000"/>
    <w:embedRegular r:id="rId10" w:fontKey="{64724F49-1DA4-43A3-AFC2-EBCA692253C0}"/>
  </w:font>
  <w:font w:name="楷体">
    <w:panose1 w:val="02010609060101010101"/>
    <w:charset w:val="86"/>
    <w:family w:val="auto"/>
    <w:pitch w:val="default"/>
    <w:sig w:usb0="800002BF" w:usb1="38CF7CFA" w:usb2="00000016" w:usb3="00000000" w:csb0="00040001" w:csb1="00000000"/>
    <w:embedRegular r:id="rId11" w:fontKey="{2995A90A-0DF9-4526-BACF-19FF6D6194E5}"/>
  </w:font>
  <w:font w:name="华文仿宋">
    <w:panose1 w:val="02010600040101010101"/>
    <w:charset w:val="86"/>
    <w:family w:val="auto"/>
    <w:pitch w:val="default"/>
    <w:sig w:usb0="00000287" w:usb1="080F0000" w:usb2="00000000" w:usb3="00000000" w:csb0="0004009F" w:csb1="DFD70000"/>
    <w:embedRegular r:id="rId12" w:fontKey="{E550DA6C-A997-46B8-A346-9325874E36C8}"/>
  </w:font>
  <w:font w:name="Cambria">
    <w:panose1 w:val="02040503050406030204"/>
    <w:charset w:val="00"/>
    <w:family w:val="auto"/>
    <w:pitch w:val="default"/>
    <w:sig w:usb0="E00002FF" w:usb1="400004FF" w:usb2="00000000" w:usb3="00000000" w:csb0="2000019F" w:csb1="00000000"/>
    <w:embedRegular r:id="rId13" w:fontKey="{458DA599-950E-4D4A-BBF7-90CF819D06C5}"/>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方正粗黑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3B7ECC"/>
    <w:multiLevelType w:val="singleLevel"/>
    <w:tmpl w:val="8F3B7ECC"/>
    <w:lvl w:ilvl="0" w:tentative="0">
      <w:start w:val="1"/>
      <w:numFmt w:val="decimal"/>
      <w:suff w:val="nothing"/>
      <w:lvlText w:val="%1、"/>
      <w:lvlJc w:val="left"/>
    </w:lvl>
  </w:abstractNum>
  <w:abstractNum w:abstractNumId="1">
    <w:nsid w:val="E6C39CDA"/>
    <w:multiLevelType w:val="singleLevel"/>
    <w:tmpl w:val="E6C39CDA"/>
    <w:lvl w:ilvl="0" w:tentative="0">
      <w:start w:val="2"/>
      <w:numFmt w:val="chineseCounting"/>
      <w:suff w:val="nothing"/>
      <w:lvlText w:val="（%1）"/>
      <w:lvlJc w:val="left"/>
      <w:rPr>
        <w:rFonts w:hint="eastAsia"/>
      </w:rPr>
    </w:lvl>
  </w:abstractNum>
  <w:abstractNum w:abstractNumId="2">
    <w:nsid w:val="1018C2F9"/>
    <w:multiLevelType w:val="singleLevel"/>
    <w:tmpl w:val="1018C2F9"/>
    <w:lvl w:ilvl="0" w:tentative="0">
      <w:start w:val="5"/>
      <w:numFmt w:val="chineseCounting"/>
      <w:suff w:val="nothing"/>
      <w:lvlText w:val="%1、"/>
      <w:lvlJc w:val="left"/>
      <w:rPr>
        <w:rFonts w:hint="eastAsia"/>
      </w:rPr>
    </w:lvl>
  </w:abstractNum>
  <w:abstractNum w:abstractNumId="3">
    <w:nsid w:val="3AF96E99"/>
    <w:multiLevelType w:val="singleLevel"/>
    <w:tmpl w:val="3AF96E99"/>
    <w:lvl w:ilvl="0" w:tentative="0">
      <w:start w:val="2"/>
      <w:numFmt w:val="chineseCounting"/>
      <w:suff w:val="nothing"/>
      <w:lvlText w:val="%1、"/>
      <w:lvlJc w:val="left"/>
      <w:rPr>
        <w:rFonts w:hint="eastAsia"/>
      </w:rPr>
    </w:lvl>
  </w:abstractNum>
  <w:abstractNum w:abstractNumId="4">
    <w:nsid w:val="521A87ED"/>
    <w:multiLevelType w:val="singleLevel"/>
    <w:tmpl w:val="521A87ED"/>
    <w:lvl w:ilvl="0" w:tentative="0">
      <w:start w:val="1"/>
      <w:numFmt w:val="decimal"/>
      <w:suff w:val="nothing"/>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FiOWNiYzg3ODAxM2UzZDI3YzI5NWU4MTUxZmQ0MmI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4543AF1"/>
    <w:rsid w:val="150A66AF"/>
    <w:rsid w:val="15604228"/>
    <w:rsid w:val="15A620D3"/>
    <w:rsid w:val="15F555B1"/>
    <w:rsid w:val="1695644C"/>
    <w:rsid w:val="16A3369E"/>
    <w:rsid w:val="17114A8B"/>
    <w:rsid w:val="176B77A7"/>
    <w:rsid w:val="178536BD"/>
    <w:rsid w:val="191331C3"/>
    <w:rsid w:val="19516372"/>
    <w:rsid w:val="19575CC2"/>
    <w:rsid w:val="19A80228"/>
    <w:rsid w:val="19AF68C7"/>
    <w:rsid w:val="19E85A53"/>
    <w:rsid w:val="1A101464"/>
    <w:rsid w:val="1A4C1518"/>
    <w:rsid w:val="1AB71087"/>
    <w:rsid w:val="1AB74849"/>
    <w:rsid w:val="1AC52FF2"/>
    <w:rsid w:val="1AD474B4"/>
    <w:rsid w:val="1AE6175D"/>
    <w:rsid w:val="1AFA5418"/>
    <w:rsid w:val="1B742AA7"/>
    <w:rsid w:val="1BD5498B"/>
    <w:rsid w:val="1BF15B4E"/>
    <w:rsid w:val="1CA34935"/>
    <w:rsid w:val="1D5A640E"/>
    <w:rsid w:val="1E9351E5"/>
    <w:rsid w:val="1F7640EC"/>
    <w:rsid w:val="20176B8B"/>
    <w:rsid w:val="20D30097"/>
    <w:rsid w:val="20D76C5F"/>
    <w:rsid w:val="20E55C2B"/>
    <w:rsid w:val="21057490"/>
    <w:rsid w:val="214A230E"/>
    <w:rsid w:val="215F4227"/>
    <w:rsid w:val="21B052C4"/>
    <w:rsid w:val="22B43877"/>
    <w:rsid w:val="22CA430C"/>
    <w:rsid w:val="22DF2F05"/>
    <w:rsid w:val="22FF5445"/>
    <w:rsid w:val="23201E3D"/>
    <w:rsid w:val="2342170A"/>
    <w:rsid w:val="238D0E57"/>
    <w:rsid w:val="24256710"/>
    <w:rsid w:val="24AC2432"/>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62735C"/>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0D5D1E"/>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914FF9"/>
    <w:rsid w:val="56F72F7C"/>
    <w:rsid w:val="5717642E"/>
    <w:rsid w:val="57946554"/>
    <w:rsid w:val="57D80A00"/>
    <w:rsid w:val="586243BF"/>
    <w:rsid w:val="58850B9C"/>
    <w:rsid w:val="58FD3402"/>
    <w:rsid w:val="5968027A"/>
    <w:rsid w:val="598F04FE"/>
    <w:rsid w:val="5AAF7799"/>
    <w:rsid w:val="5AB04BD0"/>
    <w:rsid w:val="5B5C1753"/>
    <w:rsid w:val="5BE211F7"/>
    <w:rsid w:val="5BF510BE"/>
    <w:rsid w:val="5C6C4B26"/>
    <w:rsid w:val="5D03DFF6"/>
    <w:rsid w:val="5D9C3D56"/>
    <w:rsid w:val="5DD775C7"/>
    <w:rsid w:val="5DE27796"/>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976C44"/>
    <w:rsid w:val="66AE5CE5"/>
    <w:rsid w:val="66B07D06"/>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030C7"/>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11">
    <w:name w:val="Default Paragraph Font"/>
    <w:semiHidden/>
    <w:qFormat/>
    <w:uiPriority w:val="99"/>
  </w:style>
  <w:style w:type="table" w:default="1" w:styleId="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customStyle="1" w:styleId="2">
    <w:name w:val="BodyText1I"/>
    <w:basedOn w:val="1"/>
    <w:qFormat/>
    <w:uiPriority w:val="99"/>
    <w:pPr>
      <w:snapToGrid w:val="0"/>
      <w:spacing w:line="360" w:lineRule="auto"/>
      <w:ind w:firstLine="420" w:firstLineChars="100"/>
    </w:pPr>
    <w:rPr>
      <w:sz w:val="28"/>
      <w:szCs w:val="20"/>
    </w:r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footer"/>
    <w:basedOn w:val="1"/>
    <w:link w:val="13"/>
    <w:qFormat/>
    <w:uiPriority w:val="99"/>
    <w:pPr>
      <w:tabs>
        <w:tab w:val="center" w:pos="4153"/>
        <w:tab w:val="right" w:pos="8306"/>
      </w:tabs>
      <w:snapToGrid w:val="0"/>
      <w:jc w:val="left"/>
    </w:pPr>
    <w:rPr>
      <w:sz w:val="18"/>
      <w:szCs w:val="18"/>
    </w:rPr>
  </w:style>
  <w:style w:type="paragraph" w:styleId="6">
    <w:name w:val="header"/>
    <w:basedOn w:val="1"/>
    <w:link w:val="14"/>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next w:val="1"/>
    <w:qFormat/>
    <w:uiPriority w:val="0"/>
    <w:pPr>
      <w:snapToGrid w:val="0"/>
      <w:jc w:val="left"/>
    </w:pPr>
    <w:rPr>
      <w:sz w:val="18"/>
      <w:szCs w:val="18"/>
    </w:rPr>
  </w:style>
  <w:style w:type="paragraph" w:styleId="8">
    <w:name w:val="Normal (Web)"/>
    <w:basedOn w:val="1"/>
    <w:qFormat/>
    <w:uiPriority w:val="0"/>
    <w:pPr>
      <w:spacing w:before="100" w:beforeAutospacing="1" w:after="100" w:afterAutospacing="1"/>
      <w:ind w:left="0" w:right="0"/>
      <w:jc w:val="left"/>
    </w:pPr>
    <w:rPr>
      <w:kern w:val="0"/>
      <w:sz w:val="24"/>
      <w:lang w:val="en-US" w:eastAsia="zh-CN" w:bidi="ar"/>
    </w:rPr>
  </w:style>
  <w:style w:type="table" w:styleId="10">
    <w:name w:val="Table Grid"/>
    <w:basedOn w:val="9"/>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2">
    <w:name w:val="page number"/>
    <w:basedOn w:val="11"/>
    <w:qFormat/>
    <w:uiPriority w:val="99"/>
    <w:rPr>
      <w:rFonts w:cs="Times New Roman"/>
    </w:rPr>
  </w:style>
  <w:style w:type="character" w:customStyle="1" w:styleId="13">
    <w:name w:val="Footer Char"/>
    <w:basedOn w:val="11"/>
    <w:link w:val="5"/>
    <w:semiHidden/>
    <w:qFormat/>
    <w:uiPriority w:val="99"/>
    <w:rPr>
      <w:sz w:val="18"/>
      <w:szCs w:val="18"/>
    </w:rPr>
  </w:style>
  <w:style w:type="character" w:customStyle="1" w:styleId="14">
    <w:name w:val="Header Char"/>
    <w:basedOn w:val="11"/>
    <w:link w:val="6"/>
    <w:semiHidden/>
    <w:qFormat/>
    <w:uiPriority w:val="99"/>
    <w:rPr>
      <w:sz w:val="18"/>
      <w:szCs w:val="18"/>
    </w:rPr>
  </w:style>
  <w:style w:type="paragraph" w:styleId="15">
    <w:name w:val="List Paragraph"/>
    <w:basedOn w:val="1"/>
    <w:qFormat/>
    <w:uiPriority w:val="99"/>
    <w:pPr>
      <w:ind w:firstLine="420" w:firstLineChars="200"/>
    </w:pPr>
    <w:rPr>
      <w:rFonts w:ascii="Calibri" w:hAnsi="Calibri"/>
      <w:szCs w:val="22"/>
    </w:rPr>
  </w:style>
  <w:style w:type="table" w:customStyle="1" w:styleId="16">
    <w:name w:val="Table Normal"/>
    <w:semiHidden/>
    <w:unhideWhenUsed/>
    <w:qFormat/>
    <w:uiPriority w:val="0"/>
    <w:tblPr>
      <w:tblCellMar>
        <w:top w:w="0" w:type="dxa"/>
        <w:left w:w="0" w:type="dxa"/>
        <w:bottom w:w="0" w:type="dxa"/>
        <w:right w:w="0" w:type="dxa"/>
      </w:tblCellMar>
    </w:tblPr>
  </w:style>
  <w:style w:type="paragraph" w:customStyle="1" w:styleId="17">
    <w:name w:val="Table Text"/>
    <w:basedOn w:val="1"/>
    <w:semiHidden/>
    <w:qFormat/>
    <w:uiPriority w:val="0"/>
    <w:rPr>
      <w:rFonts w:ascii="Arial" w:hAnsi="Arial" w:eastAsia="Arial" w:cs="Arial"/>
      <w:sz w:val="21"/>
      <w:szCs w:val="21"/>
      <w:lang w:val="en-US" w:eastAsia="en-US" w:bidi="ar-SA"/>
    </w:rPr>
  </w:style>
  <w:style w:type="character" w:customStyle="1" w:styleId="18">
    <w:name w:val="font11"/>
    <w:basedOn w:val="11"/>
    <w:qFormat/>
    <w:uiPriority w:val="0"/>
    <w:rPr>
      <w:rFonts w:hint="default" w:ascii="Arial" w:hAnsi="Arial" w:cs="Arial"/>
      <w:color w:val="000000"/>
      <w:sz w:val="16"/>
      <w:szCs w:val="16"/>
      <w:u w:val="none"/>
    </w:rPr>
  </w:style>
  <w:style w:type="character" w:customStyle="1" w:styleId="19">
    <w:name w:val="font21"/>
    <w:basedOn w:val="11"/>
    <w:qFormat/>
    <w:uiPriority w:val="0"/>
    <w:rPr>
      <w:rFonts w:hint="eastAsia" w:ascii="宋体" w:hAnsi="宋体" w:eastAsia="宋体" w:cs="宋体"/>
      <w:color w:val="000000"/>
      <w:sz w:val="16"/>
      <w:szCs w:val="16"/>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4354</Words>
  <Characters>4599</Characters>
  <Lines>0</Lines>
  <Paragraphs>0</Paragraphs>
  <TotalTime>7</TotalTime>
  <ScaleCrop>false</ScaleCrop>
  <LinksUpToDate>false</LinksUpToDate>
  <CharactersWithSpaces>4995</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WPS_1640949061</cp:lastModifiedBy>
  <cp:lastPrinted>2024-05-27T07:30:03Z</cp:lastPrinted>
  <dcterms:modified xsi:type="dcterms:W3CDTF">2024-05-27T07:30:55Z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KSOSaveFontToCloudKey">
    <vt:lpwstr>386772509_embed</vt:lpwstr>
  </property>
  <property fmtid="{D5CDD505-2E9C-101B-9397-08002B2CF9AE}" pid="4" name="ICV">
    <vt:lpwstr>F96CC6F13C934D6E834055B675BCA8AB_13</vt:lpwstr>
  </property>
</Properties>
</file>